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E7DFE" w14:textId="2D53B261" w:rsidR="004C4757" w:rsidRDefault="00361EDC">
      <w:pPr>
        <w:spacing w:line="503" w:lineRule="exact"/>
        <w:ind w:left="1534"/>
        <w:rPr>
          <w:rFonts w:ascii="Microsoft JhengHei" w:eastAsiaTheme="minorEastAsia"/>
          <w:b/>
          <w:sz w:val="29"/>
          <w:lang w:eastAsia="ja-JP"/>
        </w:rPr>
      </w:pPr>
      <w:r>
        <w:rPr>
          <w:rFonts w:ascii="Microsoft JhengHei" w:eastAsia="Microsoft JhengHei" w:hint="eastAsia"/>
          <w:b/>
          <w:sz w:val="29"/>
          <w:lang w:eastAsia="ja-JP"/>
        </w:rPr>
        <w:t>第</w:t>
      </w:r>
      <w:r w:rsidR="00580BA9">
        <w:rPr>
          <w:rFonts w:ascii="Microsoft JhengHei" w:eastAsiaTheme="minorEastAsia" w:hint="eastAsia"/>
          <w:b/>
          <w:sz w:val="29"/>
          <w:lang w:eastAsia="ja-JP"/>
        </w:rPr>
        <w:t>4</w:t>
      </w:r>
      <w:r w:rsidR="00FB4F73">
        <w:rPr>
          <w:rFonts w:ascii="Microsoft JhengHei" w:eastAsiaTheme="minorEastAsia" w:hint="eastAsia"/>
          <w:b/>
          <w:sz w:val="29"/>
          <w:lang w:eastAsia="ja-JP"/>
        </w:rPr>
        <w:t>4</w:t>
      </w:r>
      <w:r>
        <w:rPr>
          <w:rFonts w:ascii="Microsoft JhengHei" w:eastAsia="Microsoft JhengHei" w:hint="eastAsia"/>
          <w:b/>
          <w:sz w:val="29"/>
          <w:lang w:eastAsia="ja-JP"/>
        </w:rPr>
        <w:t xml:space="preserve">回 国連 </w:t>
      </w:r>
      <w:r>
        <w:rPr>
          <w:rFonts w:ascii="Arial" w:eastAsia="Arial"/>
          <w:b/>
          <w:i/>
          <w:sz w:val="28"/>
          <w:lang w:eastAsia="ja-JP"/>
        </w:rPr>
        <w:t xml:space="preserve">CEFACT </w:t>
      </w:r>
      <w:r>
        <w:rPr>
          <w:rFonts w:ascii="Microsoft JhengHei" w:eastAsia="Microsoft JhengHei" w:hint="eastAsia"/>
          <w:b/>
          <w:sz w:val="29"/>
          <w:lang w:eastAsia="ja-JP"/>
        </w:rPr>
        <w:t>フォーラム会議報告</w:t>
      </w:r>
    </w:p>
    <w:p w14:paraId="78DB8B0B" w14:textId="77777777" w:rsidR="00081A6F" w:rsidRPr="00FB4F73" w:rsidRDefault="00081A6F" w:rsidP="00B478FD">
      <w:pPr>
        <w:jc w:val="center"/>
        <w:rPr>
          <w:rFonts w:asciiTheme="minorEastAsia" w:eastAsiaTheme="minorEastAsia" w:hAnsiTheme="minorEastAsia"/>
          <w:sz w:val="24"/>
          <w:szCs w:val="24"/>
          <w:lang w:eastAsia="ja-JP"/>
        </w:rPr>
      </w:pPr>
    </w:p>
    <w:p w14:paraId="04945BBC" w14:textId="3671C8B6" w:rsidR="00B478FD" w:rsidRDefault="00B478FD" w:rsidP="00B478FD">
      <w:pPr>
        <w:jc w:val="center"/>
        <w:rPr>
          <w:rFonts w:asciiTheme="minorEastAsia" w:eastAsiaTheme="minorEastAsia" w:hAnsiTheme="minorEastAsia"/>
          <w:sz w:val="24"/>
          <w:szCs w:val="24"/>
          <w:lang w:eastAsia="ja-JP"/>
        </w:rPr>
      </w:pPr>
      <w:r w:rsidRPr="00B478FD">
        <w:rPr>
          <w:rFonts w:asciiTheme="minorEastAsia" w:eastAsiaTheme="minorEastAsia" w:hAnsiTheme="minorEastAsia" w:hint="eastAsia"/>
          <w:sz w:val="24"/>
          <w:szCs w:val="24"/>
          <w:lang w:eastAsia="ja-JP"/>
        </w:rPr>
        <w:t>20</w:t>
      </w:r>
      <w:r w:rsidR="00580BA9">
        <w:rPr>
          <w:rFonts w:asciiTheme="minorEastAsia" w:eastAsiaTheme="minorEastAsia" w:hAnsiTheme="minorEastAsia" w:hint="eastAsia"/>
          <w:sz w:val="24"/>
          <w:szCs w:val="24"/>
          <w:lang w:eastAsia="ja-JP"/>
        </w:rPr>
        <w:t>2</w:t>
      </w:r>
      <w:r w:rsidR="00FB4F73">
        <w:rPr>
          <w:rFonts w:asciiTheme="minorEastAsia" w:eastAsiaTheme="minorEastAsia" w:hAnsiTheme="minorEastAsia" w:hint="eastAsia"/>
          <w:sz w:val="24"/>
          <w:szCs w:val="24"/>
          <w:lang w:eastAsia="ja-JP"/>
        </w:rPr>
        <w:t>5</w:t>
      </w:r>
      <w:r w:rsidRPr="00B478FD">
        <w:rPr>
          <w:rFonts w:asciiTheme="minorEastAsia" w:eastAsiaTheme="minorEastAsia" w:hAnsiTheme="minorEastAsia" w:hint="eastAsia"/>
          <w:sz w:val="24"/>
          <w:szCs w:val="24"/>
          <w:lang w:eastAsia="ja-JP"/>
        </w:rPr>
        <w:t>年</w:t>
      </w:r>
      <w:r w:rsidR="007D25A3">
        <w:rPr>
          <w:rFonts w:asciiTheme="minorEastAsia" w:eastAsiaTheme="minorEastAsia" w:hAnsiTheme="minorEastAsia" w:hint="eastAsia"/>
          <w:sz w:val="24"/>
          <w:szCs w:val="24"/>
          <w:lang w:eastAsia="ja-JP"/>
        </w:rPr>
        <w:t>1</w:t>
      </w:r>
      <w:r w:rsidR="00FB4F73">
        <w:rPr>
          <w:rFonts w:asciiTheme="minorEastAsia" w:eastAsiaTheme="minorEastAsia" w:hAnsiTheme="minorEastAsia" w:hint="eastAsia"/>
          <w:sz w:val="24"/>
          <w:szCs w:val="24"/>
          <w:lang w:eastAsia="ja-JP"/>
        </w:rPr>
        <w:t>1</w:t>
      </w:r>
      <w:r w:rsidRPr="00B478FD">
        <w:rPr>
          <w:rFonts w:asciiTheme="minorEastAsia" w:eastAsiaTheme="minorEastAsia" w:hAnsiTheme="minorEastAsia" w:hint="eastAsia"/>
          <w:sz w:val="24"/>
          <w:szCs w:val="24"/>
          <w:lang w:eastAsia="ja-JP"/>
        </w:rPr>
        <w:t>月</w:t>
      </w:r>
      <w:r w:rsidR="00FB4F73">
        <w:rPr>
          <w:rFonts w:asciiTheme="minorEastAsia" w:eastAsiaTheme="minorEastAsia" w:hAnsiTheme="minorEastAsia" w:hint="eastAsia"/>
          <w:sz w:val="24"/>
          <w:szCs w:val="24"/>
          <w:lang w:eastAsia="ja-JP"/>
        </w:rPr>
        <w:t>24</w:t>
      </w:r>
      <w:r w:rsidRPr="00B478FD">
        <w:rPr>
          <w:rFonts w:asciiTheme="minorEastAsia" w:eastAsiaTheme="minorEastAsia" w:hAnsiTheme="minorEastAsia" w:hint="eastAsia"/>
          <w:sz w:val="24"/>
          <w:szCs w:val="24"/>
          <w:lang w:eastAsia="ja-JP"/>
        </w:rPr>
        <w:t>日～</w:t>
      </w:r>
      <w:r w:rsidR="007D25A3">
        <w:rPr>
          <w:rFonts w:asciiTheme="minorEastAsia" w:eastAsiaTheme="minorEastAsia" w:hAnsiTheme="minorEastAsia" w:hint="eastAsia"/>
          <w:sz w:val="24"/>
          <w:szCs w:val="24"/>
          <w:lang w:eastAsia="ja-JP"/>
        </w:rPr>
        <w:t>1</w:t>
      </w:r>
      <w:r w:rsidR="00FB4F73">
        <w:rPr>
          <w:rFonts w:asciiTheme="minorEastAsia" w:eastAsiaTheme="minorEastAsia" w:hAnsiTheme="minorEastAsia" w:hint="eastAsia"/>
          <w:sz w:val="24"/>
          <w:szCs w:val="24"/>
          <w:lang w:eastAsia="ja-JP"/>
        </w:rPr>
        <w:t>1</w:t>
      </w:r>
      <w:r w:rsidRPr="00B478FD">
        <w:rPr>
          <w:rFonts w:asciiTheme="minorEastAsia" w:eastAsiaTheme="minorEastAsia" w:hAnsiTheme="minorEastAsia" w:hint="eastAsia"/>
          <w:sz w:val="24"/>
          <w:szCs w:val="24"/>
          <w:lang w:eastAsia="ja-JP"/>
        </w:rPr>
        <w:t>月</w:t>
      </w:r>
      <w:r w:rsidR="00FB4F73">
        <w:rPr>
          <w:rFonts w:asciiTheme="minorEastAsia" w:eastAsiaTheme="minorEastAsia" w:hAnsiTheme="minorEastAsia" w:hint="eastAsia"/>
          <w:sz w:val="24"/>
          <w:szCs w:val="24"/>
          <w:lang w:eastAsia="ja-JP"/>
        </w:rPr>
        <w:t>27</w:t>
      </w:r>
      <w:r w:rsidRPr="00B478FD">
        <w:rPr>
          <w:rFonts w:asciiTheme="minorEastAsia" w:eastAsiaTheme="minorEastAsia" w:hAnsiTheme="minorEastAsia" w:hint="eastAsia"/>
          <w:sz w:val="24"/>
          <w:szCs w:val="24"/>
          <w:lang w:eastAsia="ja-JP"/>
        </w:rPr>
        <w:t>日</w:t>
      </w:r>
    </w:p>
    <w:p w14:paraId="07F4D135" w14:textId="1A078017" w:rsidR="00580BA9" w:rsidRPr="00580BA9" w:rsidRDefault="00FB4F73" w:rsidP="00B478FD">
      <w:pPr>
        <w:jc w:val="center"/>
        <w:rPr>
          <w:rFonts w:asciiTheme="minorEastAsia" w:eastAsiaTheme="minorEastAsia" w:hAnsiTheme="minorEastAsia"/>
          <w:bCs/>
          <w:sz w:val="24"/>
          <w:szCs w:val="24"/>
          <w:lang w:eastAsia="ja-JP"/>
        </w:rPr>
      </w:pPr>
      <w:r>
        <w:rPr>
          <w:rFonts w:asciiTheme="minorEastAsia" w:eastAsiaTheme="minorEastAsia" w:hAnsiTheme="minorEastAsia" w:hint="eastAsia"/>
          <w:bCs/>
          <w:sz w:val="24"/>
          <w:szCs w:val="24"/>
          <w:lang w:eastAsia="ja-JP"/>
        </w:rPr>
        <w:t>ダカール／サリー</w:t>
      </w:r>
      <w:r w:rsidR="00580BA9" w:rsidRPr="00580BA9">
        <w:rPr>
          <w:rFonts w:asciiTheme="minorEastAsia" w:eastAsiaTheme="minorEastAsia" w:hAnsiTheme="minorEastAsia" w:hint="eastAsia"/>
          <w:bCs/>
          <w:sz w:val="24"/>
          <w:szCs w:val="24"/>
          <w:lang w:eastAsia="ja-JP"/>
        </w:rPr>
        <w:t>（</w:t>
      </w:r>
      <w:r>
        <w:rPr>
          <w:rFonts w:asciiTheme="minorEastAsia" w:eastAsiaTheme="minorEastAsia" w:hAnsiTheme="minorEastAsia" w:hint="eastAsia"/>
          <w:bCs/>
          <w:sz w:val="24"/>
          <w:szCs w:val="24"/>
          <w:lang w:eastAsia="ja-JP"/>
        </w:rPr>
        <w:t>セネガル</w:t>
      </w:r>
      <w:r w:rsidR="00580BA9" w:rsidRPr="00580BA9">
        <w:rPr>
          <w:rFonts w:asciiTheme="minorEastAsia" w:eastAsiaTheme="minorEastAsia" w:hAnsiTheme="minorEastAsia" w:hint="eastAsia"/>
          <w:bCs/>
          <w:sz w:val="24"/>
          <w:szCs w:val="24"/>
          <w:lang w:eastAsia="ja-JP"/>
        </w:rPr>
        <w:t>）</w:t>
      </w:r>
      <w:r>
        <w:rPr>
          <w:rFonts w:asciiTheme="minorEastAsia" w:eastAsiaTheme="minorEastAsia" w:hAnsiTheme="minorEastAsia" w:hint="eastAsia"/>
          <w:bCs/>
          <w:sz w:val="24"/>
          <w:szCs w:val="24"/>
          <w:lang w:eastAsia="ja-JP"/>
        </w:rPr>
        <w:t>Rhino Resort and SPA hotel</w:t>
      </w:r>
    </w:p>
    <w:p w14:paraId="0CEAC913" w14:textId="1779905C" w:rsidR="00B478FD" w:rsidRPr="00720DD4" w:rsidRDefault="00580BA9" w:rsidP="00580BA9">
      <w:pPr>
        <w:pStyle w:val="a3"/>
        <w:spacing w:before="156" w:line="295" w:lineRule="auto"/>
        <w:ind w:right="2892"/>
        <w:jc w:val="center"/>
        <w:rPr>
          <w:rFonts w:eastAsiaTheme="minorEastAsia"/>
          <w:lang w:eastAsia="ja-JP"/>
        </w:rPr>
      </w:pPr>
      <w:r>
        <w:rPr>
          <w:rFonts w:asciiTheme="minorEastAsia" w:eastAsiaTheme="minorEastAsia" w:hAnsiTheme="minorEastAsia" w:hint="eastAsia"/>
          <w:lang w:eastAsia="ja-JP"/>
        </w:rPr>
        <w:t xml:space="preserve">　　　　　　　　　　</w:t>
      </w:r>
    </w:p>
    <w:p w14:paraId="26308A7D" w14:textId="77777777" w:rsidR="00B478FD" w:rsidRDefault="00B478FD" w:rsidP="00B478FD">
      <w:pPr>
        <w:pStyle w:val="a3"/>
        <w:spacing w:line="295" w:lineRule="auto"/>
        <w:ind w:left="1518" w:right="1056" w:firstLine="1108"/>
        <w:jc w:val="center"/>
        <w:rPr>
          <w:rFonts w:eastAsiaTheme="minorEastAsia"/>
          <w:lang w:eastAsia="ja-JP"/>
        </w:rPr>
      </w:pPr>
      <w:r>
        <w:rPr>
          <w:rFonts w:eastAsiaTheme="minorEastAsia" w:hint="eastAsia"/>
          <w:lang w:eastAsia="ja-JP"/>
        </w:rPr>
        <w:t xml:space="preserve">　　　　　　</w:t>
      </w:r>
      <w:r>
        <w:rPr>
          <w:lang w:eastAsia="ja-JP"/>
        </w:rPr>
        <w:t xml:space="preserve">報告者：国連 </w:t>
      </w:r>
      <w:r>
        <w:rPr>
          <w:rFonts w:ascii="Century" w:eastAsia="Century"/>
          <w:lang w:eastAsia="ja-JP"/>
        </w:rPr>
        <w:t xml:space="preserve">CEFACT </w:t>
      </w:r>
      <w:r>
        <w:rPr>
          <w:lang w:eastAsia="ja-JP"/>
        </w:rPr>
        <w:t>日本委員会</w:t>
      </w:r>
    </w:p>
    <w:p w14:paraId="2F3D93CF" w14:textId="77777777" w:rsidR="00B478FD" w:rsidRDefault="00B478FD" w:rsidP="00B478FD">
      <w:pPr>
        <w:pStyle w:val="a3"/>
        <w:spacing w:line="295" w:lineRule="auto"/>
        <w:ind w:left="1518" w:right="216" w:firstLine="1108"/>
        <w:jc w:val="right"/>
        <w:rPr>
          <w:lang w:eastAsia="ja-JP"/>
        </w:rPr>
      </w:pPr>
      <w:r>
        <w:rPr>
          <w:lang w:eastAsia="ja-JP"/>
        </w:rPr>
        <w:t>一般社団法人サプライチェーン情報基盤研究会</w:t>
      </w:r>
    </w:p>
    <w:p w14:paraId="096AE667" w14:textId="7806763A" w:rsidR="004C4757" w:rsidRDefault="00B478FD" w:rsidP="00580BA9">
      <w:pPr>
        <w:pStyle w:val="a3"/>
        <w:tabs>
          <w:tab w:val="left" w:pos="631"/>
        </w:tabs>
        <w:spacing w:line="291" w:lineRule="exact"/>
        <w:ind w:right="216"/>
        <w:jc w:val="right"/>
        <w:rPr>
          <w:rFonts w:eastAsiaTheme="minorEastAsia"/>
          <w:lang w:eastAsia="ja-JP"/>
        </w:rPr>
      </w:pPr>
      <w:r>
        <w:rPr>
          <w:lang w:eastAsia="ja-JP"/>
        </w:rPr>
        <w:t>菅又</w:t>
      </w:r>
      <w:r>
        <w:rPr>
          <w:lang w:eastAsia="ja-JP"/>
        </w:rPr>
        <w:tab/>
        <w:t>久直</w:t>
      </w:r>
    </w:p>
    <w:p w14:paraId="333C071C" w14:textId="77777777" w:rsidR="00580BA9" w:rsidRPr="00580BA9" w:rsidRDefault="00580BA9" w:rsidP="00580BA9">
      <w:pPr>
        <w:pStyle w:val="a3"/>
        <w:tabs>
          <w:tab w:val="left" w:pos="631"/>
        </w:tabs>
        <w:spacing w:line="291" w:lineRule="exact"/>
        <w:ind w:right="216"/>
        <w:jc w:val="right"/>
        <w:rPr>
          <w:rFonts w:eastAsiaTheme="minorEastAsia"/>
          <w:lang w:eastAsia="ja-JP"/>
        </w:rPr>
      </w:pPr>
    </w:p>
    <w:p w14:paraId="6515BF94" w14:textId="77777777" w:rsidR="004C4757" w:rsidRDefault="00CA105C">
      <w:pPr>
        <w:pStyle w:val="a3"/>
        <w:spacing w:before="13" w:line="295" w:lineRule="auto"/>
        <w:ind w:left="132" w:right="243" w:firstLine="208"/>
        <w:rPr>
          <w:rFonts w:ascii="Century" w:eastAsiaTheme="minorEastAsia" w:hAnsi="Century"/>
          <w:lang w:eastAsia="ja-JP"/>
        </w:rPr>
      </w:pPr>
      <w:r w:rsidRPr="00230432">
        <w:rPr>
          <w:rFonts w:ascii="Century" w:eastAsiaTheme="minorEastAsia" w:hAnsi="Century"/>
          <w:lang w:eastAsia="ja-JP"/>
        </w:rPr>
        <w:t>国連</w:t>
      </w:r>
      <w:r w:rsidR="00361EDC" w:rsidRPr="00230432">
        <w:rPr>
          <w:rFonts w:ascii="Century" w:eastAsiaTheme="minorEastAsia" w:hAnsi="Century"/>
          <w:lang w:eastAsia="ja-JP"/>
        </w:rPr>
        <w:t>CEFACT</w:t>
      </w:r>
      <w:r w:rsidR="00361EDC" w:rsidRPr="00230432">
        <w:rPr>
          <w:rFonts w:ascii="Century" w:eastAsiaTheme="minorEastAsia" w:hAnsi="Century"/>
          <w:lang w:eastAsia="ja-JP"/>
        </w:rPr>
        <w:t>は、貿易手続の簡易化と電子ビジネスの促進</w:t>
      </w:r>
      <w:r w:rsidRPr="00230432">
        <w:rPr>
          <w:rFonts w:ascii="Century" w:eastAsiaTheme="minorEastAsia" w:hAnsi="Century"/>
          <w:lang w:eastAsia="ja-JP"/>
        </w:rPr>
        <w:t>、</w:t>
      </w:r>
      <w:r w:rsidR="00361EDC" w:rsidRPr="00230432">
        <w:rPr>
          <w:rFonts w:ascii="Century" w:eastAsiaTheme="minorEastAsia" w:hAnsi="Century"/>
          <w:lang w:eastAsia="ja-JP"/>
        </w:rPr>
        <w:t>およびそれらに関するグローバルなポリシーや</w:t>
      </w:r>
      <w:r w:rsidRPr="00230432">
        <w:rPr>
          <w:rFonts w:ascii="Century" w:eastAsiaTheme="minorEastAsia" w:hAnsi="Century"/>
          <w:lang w:eastAsia="ja-JP"/>
        </w:rPr>
        <w:t>技術</w:t>
      </w:r>
      <w:r w:rsidR="00361EDC" w:rsidRPr="00230432">
        <w:rPr>
          <w:rFonts w:ascii="Century" w:eastAsiaTheme="minorEastAsia" w:hAnsi="Century"/>
          <w:lang w:eastAsia="ja-JP"/>
        </w:rPr>
        <w:t>仕様の制定を目的として設立された</w:t>
      </w:r>
      <w:r w:rsidRPr="00230432">
        <w:rPr>
          <w:rFonts w:ascii="Century" w:eastAsiaTheme="minorEastAsia" w:hAnsi="Century"/>
          <w:lang w:eastAsia="ja-JP"/>
        </w:rPr>
        <w:t>国連</w:t>
      </w:r>
      <w:r w:rsidR="00361EDC" w:rsidRPr="00230432">
        <w:rPr>
          <w:rFonts w:ascii="Century" w:eastAsiaTheme="minorEastAsia" w:hAnsi="Century"/>
          <w:lang w:eastAsia="ja-JP"/>
        </w:rPr>
        <w:t>組織である</w:t>
      </w:r>
      <w:r w:rsidRPr="00230432">
        <w:rPr>
          <w:rFonts w:ascii="Century" w:eastAsiaTheme="minorEastAsia" w:hAnsi="Century"/>
          <w:lang w:eastAsia="ja-JP"/>
        </w:rPr>
        <w:t>。</w:t>
      </w:r>
    </w:p>
    <w:p w14:paraId="222ADD8A" w14:textId="3A3CFABC" w:rsidR="001B0506" w:rsidRDefault="00580BA9">
      <w:pPr>
        <w:pStyle w:val="a3"/>
        <w:spacing w:before="13" w:line="295" w:lineRule="auto"/>
        <w:ind w:left="132" w:right="243" w:firstLine="208"/>
        <w:rPr>
          <w:rFonts w:ascii="Century" w:eastAsiaTheme="minorEastAsia" w:hAnsi="Century"/>
          <w:lang w:eastAsia="ja-JP"/>
        </w:rPr>
      </w:pPr>
      <w:r>
        <w:rPr>
          <w:rFonts w:ascii="Century" w:eastAsiaTheme="minorEastAsia" w:hAnsi="Century" w:hint="eastAsia"/>
          <w:lang w:eastAsia="ja-JP"/>
        </w:rPr>
        <w:t>今回の参加は、経済産業省が進める</w:t>
      </w:r>
      <w:r w:rsidR="001B0506" w:rsidRPr="001B0506">
        <w:rPr>
          <w:rFonts w:ascii="Century" w:eastAsiaTheme="minorEastAsia" w:hAnsi="Century" w:hint="eastAsia"/>
          <w:lang w:eastAsia="ja-JP"/>
        </w:rPr>
        <w:t>貿易プラットフォームによるデータ連携を</w:t>
      </w:r>
      <w:r w:rsidR="00CB7ABF">
        <w:rPr>
          <w:rFonts w:ascii="Century" w:eastAsiaTheme="minorEastAsia" w:hAnsi="Century" w:hint="eastAsia"/>
          <w:lang w:eastAsia="ja-JP"/>
        </w:rPr>
        <w:t>推進する</w:t>
      </w:r>
      <w:r w:rsidR="001B0506" w:rsidRPr="001B0506">
        <w:rPr>
          <w:rFonts w:ascii="Century" w:eastAsiaTheme="minorEastAsia" w:hAnsi="Century" w:hint="eastAsia"/>
          <w:lang w:eastAsia="ja-JP"/>
        </w:rPr>
        <w:t>ため</w:t>
      </w:r>
      <w:r w:rsidR="001B0506">
        <w:rPr>
          <w:rFonts w:ascii="Century" w:eastAsiaTheme="minorEastAsia" w:hAnsi="Century" w:hint="eastAsia"/>
          <w:lang w:eastAsia="ja-JP"/>
        </w:rPr>
        <w:t>の</w:t>
      </w:r>
      <w:r w:rsidR="00C971E4">
        <w:rPr>
          <w:rFonts w:ascii="Century" w:eastAsiaTheme="minorEastAsia" w:hAnsi="Century" w:hint="eastAsia"/>
          <w:lang w:eastAsia="ja-JP"/>
        </w:rPr>
        <w:t>活動が目的である。</w:t>
      </w:r>
      <w:r w:rsidR="001B0506" w:rsidRPr="001B0506">
        <w:rPr>
          <w:rFonts w:ascii="Century" w:eastAsiaTheme="minorEastAsia" w:hAnsi="Century" w:hint="eastAsia"/>
          <w:lang w:eastAsia="ja-JP"/>
        </w:rPr>
        <w:t>金流商流物流の情報接点となる貿易決済（トレードファイナンス）に関わる情報モデル</w:t>
      </w:r>
      <w:r w:rsidR="001B0506">
        <w:rPr>
          <w:rFonts w:ascii="Century" w:eastAsiaTheme="minorEastAsia" w:hAnsi="Century" w:hint="eastAsia"/>
          <w:lang w:eastAsia="ja-JP"/>
        </w:rPr>
        <w:t>につき、日本の貿易関連企業の業務要件</w:t>
      </w:r>
      <w:r w:rsidR="001B0506" w:rsidRPr="001B0506">
        <w:rPr>
          <w:rFonts w:ascii="Century" w:eastAsiaTheme="minorEastAsia" w:hAnsi="Century" w:hint="eastAsia"/>
          <w:lang w:eastAsia="ja-JP"/>
        </w:rPr>
        <w:t>を</w:t>
      </w:r>
      <w:r w:rsidR="001B0506">
        <w:rPr>
          <w:rFonts w:ascii="Century" w:eastAsiaTheme="minorEastAsia" w:hAnsi="Century" w:hint="eastAsia"/>
          <w:lang w:eastAsia="ja-JP"/>
        </w:rPr>
        <w:t>反映した</w:t>
      </w:r>
      <w:r w:rsidR="001B0506" w:rsidRPr="001B0506">
        <w:rPr>
          <w:rFonts w:ascii="Century" w:eastAsiaTheme="minorEastAsia" w:hAnsi="Century" w:hint="eastAsia"/>
          <w:lang w:eastAsia="ja-JP"/>
        </w:rPr>
        <w:t>国連</w:t>
      </w:r>
      <w:r w:rsidR="001B0506" w:rsidRPr="001B0506">
        <w:rPr>
          <w:rFonts w:ascii="Century" w:eastAsiaTheme="minorEastAsia" w:hAnsi="Century"/>
          <w:lang w:eastAsia="ja-JP"/>
        </w:rPr>
        <w:t>CEFACT</w:t>
      </w:r>
      <w:r w:rsidR="001B0506">
        <w:rPr>
          <w:rFonts w:ascii="Century" w:eastAsiaTheme="minorEastAsia" w:hAnsi="Century" w:hint="eastAsia"/>
          <w:lang w:eastAsia="ja-JP"/>
        </w:rPr>
        <w:t>標準</w:t>
      </w:r>
      <w:r w:rsidR="00FB4F73">
        <w:rPr>
          <w:rFonts w:ascii="Century" w:eastAsiaTheme="minorEastAsia" w:hAnsi="Century" w:hint="eastAsia"/>
          <w:lang w:eastAsia="ja-JP"/>
        </w:rPr>
        <w:t>の成果につき発表を行った</w:t>
      </w:r>
      <w:r w:rsidR="001B0506">
        <w:rPr>
          <w:rFonts w:ascii="Century" w:eastAsiaTheme="minorEastAsia" w:hAnsi="Century" w:hint="eastAsia"/>
          <w:lang w:eastAsia="ja-JP"/>
        </w:rPr>
        <w:t>。</w:t>
      </w:r>
    </w:p>
    <w:p w14:paraId="61833036" w14:textId="5E7CB44B" w:rsidR="001B0506" w:rsidRDefault="001B0506">
      <w:pPr>
        <w:pStyle w:val="a3"/>
        <w:spacing w:before="13" w:line="295" w:lineRule="auto"/>
        <w:ind w:left="132" w:right="243" w:firstLine="208"/>
        <w:rPr>
          <w:rFonts w:ascii="Century" w:eastAsiaTheme="minorEastAsia" w:hAnsi="Century"/>
          <w:lang w:eastAsia="ja-JP"/>
        </w:rPr>
      </w:pPr>
      <w:r>
        <w:rPr>
          <w:rFonts w:ascii="Century" w:eastAsiaTheme="minorEastAsia" w:hAnsi="Century" w:hint="eastAsia"/>
          <w:lang w:eastAsia="ja-JP"/>
        </w:rPr>
        <w:t>更に、今後の貿易デジタル化へ向けての国連欧州経済委員会（</w:t>
      </w:r>
      <w:r w:rsidR="00461DE6">
        <w:rPr>
          <w:rFonts w:ascii="Century" w:eastAsiaTheme="minorEastAsia" w:hAnsi="Century" w:hint="eastAsia"/>
          <w:lang w:eastAsia="ja-JP"/>
        </w:rPr>
        <w:t>UNECE</w:t>
      </w:r>
      <w:r w:rsidR="00461DE6">
        <w:rPr>
          <w:rFonts w:ascii="Century" w:eastAsiaTheme="minorEastAsia" w:hAnsi="Century" w:hint="eastAsia"/>
          <w:lang w:eastAsia="ja-JP"/>
        </w:rPr>
        <w:t>）及び</w:t>
      </w:r>
      <w:r w:rsidR="00D86AE2">
        <w:rPr>
          <w:rFonts w:ascii="Century" w:eastAsiaTheme="minorEastAsia" w:hAnsi="Century" w:hint="eastAsia"/>
          <w:lang w:eastAsia="ja-JP"/>
        </w:rPr>
        <w:t>国連</w:t>
      </w:r>
      <w:r w:rsidR="00461DE6">
        <w:rPr>
          <w:rFonts w:ascii="Century" w:eastAsiaTheme="minorEastAsia" w:hAnsi="Century" w:hint="eastAsia"/>
          <w:lang w:eastAsia="ja-JP"/>
        </w:rPr>
        <w:t>CEFACT</w:t>
      </w:r>
      <w:r w:rsidR="00461DE6">
        <w:rPr>
          <w:rFonts w:ascii="Century" w:eastAsiaTheme="minorEastAsia" w:hAnsi="Century" w:hint="eastAsia"/>
          <w:lang w:eastAsia="ja-JP"/>
        </w:rPr>
        <w:t>における新たな取組みについての調査を行った。</w:t>
      </w:r>
    </w:p>
    <w:p w14:paraId="49F60B5C" w14:textId="77777777" w:rsidR="001B0506" w:rsidRDefault="001B0506" w:rsidP="00461DE6">
      <w:pPr>
        <w:pStyle w:val="a3"/>
        <w:spacing w:before="13" w:line="295" w:lineRule="auto"/>
        <w:ind w:right="243"/>
        <w:rPr>
          <w:rFonts w:ascii="Century" w:eastAsiaTheme="minorEastAsia" w:hAnsi="Century"/>
          <w:lang w:eastAsia="ja-JP"/>
        </w:rPr>
      </w:pPr>
    </w:p>
    <w:p w14:paraId="539790AA" w14:textId="2BFC424C" w:rsidR="00FB4F73" w:rsidRDefault="00FB4F73" w:rsidP="00461DE6">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 xml:space="preserve">　今回のフォーラムは、</w:t>
      </w:r>
      <w:r w:rsidR="00CC43F1">
        <w:rPr>
          <w:rFonts w:ascii="Century" w:eastAsiaTheme="minorEastAsia" w:hAnsi="Century" w:hint="eastAsia"/>
          <w:lang w:eastAsia="ja-JP"/>
        </w:rPr>
        <w:t>開催ホスト国（セネガル）による</w:t>
      </w:r>
      <w:r>
        <w:rPr>
          <w:rFonts w:ascii="Century" w:eastAsiaTheme="minorEastAsia" w:hAnsi="Century" w:hint="eastAsia"/>
          <w:lang w:eastAsia="ja-JP"/>
        </w:rPr>
        <w:t>アフリカ地域の貿易手続円滑化</w:t>
      </w:r>
      <w:r w:rsidR="00CC43F1">
        <w:rPr>
          <w:rFonts w:ascii="Century" w:eastAsiaTheme="minorEastAsia" w:hAnsi="Century" w:hint="eastAsia"/>
          <w:lang w:eastAsia="ja-JP"/>
        </w:rPr>
        <w:t>を対象とした、国際シングルウィンドウ会議との合同開催となっている。</w:t>
      </w:r>
    </w:p>
    <w:p w14:paraId="5FBD4DB4" w14:textId="77777777" w:rsidR="00FB4F73" w:rsidRDefault="00FB4F73" w:rsidP="00461DE6">
      <w:pPr>
        <w:pStyle w:val="a3"/>
        <w:spacing w:before="13" w:line="295" w:lineRule="auto"/>
        <w:ind w:right="243"/>
        <w:rPr>
          <w:rFonts w:ascii="Century" w:eastAsiaTheme="minorEastAsia" w:hAnsi="Century"/>
          <w:lang w:eastAsia="ja-JP"/>
        </w:rPr>
      </w:pPr>
    </w:p>
    <w:p w14:paraId="3FB10480" w14:textId="636906D7" w:rsidR="0044562F" w:rsidRDefault="00D8071E" w:rsidP="00461DE6">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 xml:space="preserve">　フォーラム１日目は、</w:t>
      </w:r>
      <w:r w:rsidR="0044562F">
        <w:rPr>
          <w:rFonts w:ascii="Century" w:eastAsiaTheme="minorEastAsia" w:hAnsi="Century" w:hint="eastAsia"/>
          <w:lang w:eastAsia="ja-JP"/>
        </w:rPr>
        <w:t>国連欧州経済委員会（</w:t>
      </w:r>
      <w:r w:rsidR="0044562F">
        <w:rPr>
          <w:rFonts w:ascii="Century" w:eastAsiaTheme="minorEastAsia" w:hAnsi="Century" w:hint="eastAsia"/>
          <w:lang w:eastAsia="ja-JP"/>
        </w:rPr>
        <w:t>UNECE</w:t>
      </w:r>
      <w:r w:rsidR="0044562F">
        <w:rPr>
          <w:rFonts w:ascii="Century" w:eastAsiaTheme="minorEastAsia" w:hAnsi="Century" w:hint="eastAsia"/>
          <w:lang w:eastAsia="ja-JP"/>
        </w:rPr>
        <w:t>）と国連アフリカ経済委員会（</w:t>
      </w:r>
      <w:r w:rsidR="0044562F">
        <w:rPr>
          <w:rFonts w:ascii="Century" w:eastAsiaTheme="minorEastAsia" w:hAnsi="Century" w:hint="eastAsia"/>
          <w:lang w:eastAsia="ja-JP"/>
        </w:rPr>
        <w:t>UNECA</w:t>
      </w:r>
      <w:r w:rsidR="0044562F">
        <w:rPr>
          <w:rFonts w:ascii="Century" w:eastAsiaTheme="minorEastAsia" w:hAnsi="Century" w:hint="eastAsia"/>
          <w:lang w:eastAsia="ja-JP"/>
        </w:rPr>
        <w:t>）それぞれの事務総長のビデオ・メッセージに始まり、</w:t>
      </w:r>
      <w:r w:rsidR="00813604">
        <w:rPr>
          <w:rFonts w:ascii="Century" w:eastAsiaTheme="minorEastAsia" w:hAnsi="Century" w:hint="eastAsia"/>
          <w:lang w:eastAsia="ja-JP"/>
        </w:rPr>
        <w:t>国連</w:t>
      </w:r>
      <w:r w:rsidR="00813604">
        <w:rPr>
          <w:rFonts w:ascii="Century" w:eastAsiaTheme="minorEastAsia" w:hAnsi="Century" w:hint="eastAsia"/>
          <w:lang w:eastAsia="ja-JP"/>
        </w:rPr>
        <w:t>CEFACT</w:t>
      </w:r>
      <w:r w:rsidR="00813604">
        <w:rPr>
          <w:rFonts w:ascii="Century" w:eastAsiaTheme="minorEastAsia" w:hAnsi="Century" w:hint="eastAsia"/>
          <w:lang w:eastAsia="ja-JP"/>
        </w:rPr>
        <w:t>議長代理、セネガル欧州連合代表部、アフリカ電子商取引アライアンス（</w:t>
      </w:r>
      <w:r w:rsidR="00813604">
        <w:rPr>
          <w:rFonts w:ascii="Century" w:eastAsiaTheme="minorEastAsia" w:hAnsi="Century" w:hint="eastAsia"/>
          <w:lang w:eastAsia="ja-JP"/>
        </w:rPr>
        <w:t>AAEC</w:t>
      </w:r>
      <w:r w:rsidR="00813604">
        <w:rPr>
          <w:rFonts w:ascii="Century" w:eastAsiaTheme="minorEastAsia" w:hAnsi="Century" w:hint="eastAsia"/>
          <w:lang w:eastAsia="ja-JP"/>
        </w:rPr>
        <w:t>）、セネガル税関事務局長らの挨拶が行われた。</w:t>
      </w:r>
    </w:p>
    <w:p w14:paraId="45195826" w14:textId="1741267F" w:rsidR="00813604" w:rsidRDefault="00813604" w:rsidP="00461DE6">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 xml:space="preserve">　セネガル及びアフリカの当面の関心事は、シングルウィンドウと陸封国との貿易回廊の整備であり、</w:t>
      </w:r>
      <w:r w:rsidR="00BD5C49">
        <w:rPr>
          <w:rFonts w:ascii="Century" w:eastAsiaTheme="minorEastAsia" w:hAnsi="Century" w:hint="eastAsia"/>
          <w:lang w:eastAsia="ja-JP"/>
        </w:rPr>
        <w:t>国際シングルウィンドウ会議と称して</w:t>
      </w:r>
      <w:r>
        <w:rPr>
          <w:rFonts w:ascii="Century" w:eastAsiaTheme="minorEastAsia" w:hAnsi="Century" w:hint="eastAsia"/>
          <w:lang w:eastAsia="ja-JP"/>
        </w:rPr>
        <w:t>貿易円滑化</w:t>
      </w:r>
      <w:r w:rsidR="00BD5C49">
        <w:rPr>
          <w:rFonts w:ascii="Century" w:eastAsiaTheme="minorEastAsia" w:hAnsi="Century" w:hint="eastAsia"/>
          <w:lang w:eastAsia="ja-JP"/>
        </w:rPr>
        <w:t>促進のためのパネル会議</w:t>
      </w:r>
      <w:r w:rsidR="00041929">
        <w:rPr>
          <w:rFonts w:ascii="Century" w:eastAsiaTheme="minorEastAsia" w:hAnsi="Century" w:hint="eastAsia"/>
          <w:lang w:eastAsia="ja-JP"/>
        </w:rPr>
        <w:t>で最近の取組が紹介された</w:t>
      </w:r>
      <w:r w:rsidR="00BD5C49">
        <w:rPr>
          <w:rFonts w:ascii="Century" w:eastAsiaTheme="minorEastAsia" w:hAnsi="Century" w:hint="eastAsia"/>
          <w:lang w:eastAsia="ja-JP"/>
        </w:rPr>
        <w:t>。</w:t>
      </w:r>
    </w:p>
    <w:p w14:paraId="3AC0AC25" w14:textId="77777777" w:rsidR="00BD5C49" w:rsidRDefault="00BD5C49" w:rsidP="00461DE6">
      <w:pPr>
        <w:pStyle w:val="a3"/>
        <w:spacing w:before="13" w:line="295" w:lineRule="auto"/>
        <w:ind w:right="243"/>
        <w:rPr>
          <w:rFonts w:ascii="Century" w:eastAsiaTheme="minorEastAsia" w:hAnsi="Century"/>
          <w:lang w:eastAsia="ja-JP"/>
        </w:rPr>
      </w:pPr>
    </w:p>
    <w:p w14:paraId="5CA61FC1" w14:textId="340B10C4" w:rsidR="00BD5C49" w:rsidRDefault="00BD5C49" w:rsidP="00461DE6">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 xml:space="preserve">　フォーラム２日目以降は、国連</w:t>
      </w:r>
      <w:r>
        <w:rPr>
          <w:rFonts w:ascii="Century" w:eastAsiaTheme="minorEastAsia" w:hAnsi="Century" w:hint="eastAsia"/>
          <w:lang w:eastAsia="ja-JP"/>
        </w:rPr>
        <w:t>CEFACT</w:t>
      </w:r>
      <w:r>
        <w:rPr>
          <w:rFonts w:ascii="Century" w:eastAsiaTheme="minorEastAsia" w:hAnsi="Century" w:hint="eastAsia"/>
          <w:lang w:eastAsia="ja-JP"/>
        </w:rPr>
        <w:t>活動の最新課題につき発表と意見交換が行われた。</w:t>
      </w:r>
      <w:r w:rsidR="00F52D46">
        <w:rPr>
          <w:rFonts w:ascii="Century" w:eastAsiaTheme="minorEastAsia" w:hAnsi="Century" w:hint="eastAsia"/>
          <w:lang w:eastAsia="ja-JP"/>
        </w:rPr>
        <w:t>本報告書では、小生が参加した以下のセッションにつき紹介する。</w:t>
      </w:r>
    </w:p>
    <w:p w14:paraId="4825BF11" w14:textId="0C5F60D7" w:rsidR="00F52D46" w:rsidRDefault="00041929" w:rsidP="00041929">
      <w:pPr>
        <w:pStyle w:val="a3"/>
        <w:numPr>
          <w:ilvl w:val="0"/>
          <w:numId w:val="13"/>
        </w:numPr>
        <w:spacing w:before="13" w:line="295" w:lineRule="auto"/>
        <w:ind w:right="243"/>
        <w:rPr>
          <w:rFonts w:ascii="Century" w:eastAsiaTheme="minorEastAsia" w:hAnsi="Century"/>
          <w:lang w:eastAsia="ja-JP"/>
        </w:rPr>
      </w:pPr>
      <w:r>
        <w:rPr>
          <w:rFonts w:ascii="Century" w:eastAsiaTheme="minorEastAsia" w:hAnsi="Century" w:hint="eastAsia"/>
          <w:lang w:eastAsia="ja-JP"/>
        </w:rPr>
        <w:t>貿易手続</w:t>
      </w:r>
    </w:p>
    <w:p w14:paraId="33527414" w14:textId="25AF10D7" w:rsidR="00F52D46" w:rsidRDefault="00F52D46" w:rsidP="00041929">
      <w:pPr>
        <w:pStyle w:val="a3"/>
        <w:numPr>
          <w:ilvl w:val="0"/>
          <w:numId w:val="14"/>
        </w:numPr>
        <w:spacing w:before="13" w:line="295" w:lineRule="auto"/>
        <w:ind w:right="243"/>
        <w:rPr>
          <w:rFonts w:ascii="Century" w:eastAsiaTheme="minorEastAsia" w:hAnsi="Century"/>
          <w:lang w:eastAsia="ja-JP"/>
        </w:rPr>
      </w:pPr>
      <w:r>
        <w:rPr>
          <w:rFonts w:ascii="Century" w:eastAsiaTheme="minorEastAsia" w:hAnsi="Century" w:hint="eastAsia"/>
          <w:lang w:eastAsia="ja-JP"/>
        </w:rPr>
        <w:t>国連</w:t>
      </w:r>
      <w:r>
        <w:rPr>
          <w:rFonts w:ascii="Century" w:eastAsiaTheme="minorEastAsia" w:hAnsi="Century" w:hint="eastAsia"/>
          <w:lang w:eastAsia="ja-JP"/>
        </w:rPr>
        <w:t>CEFACT</w:t>
      </w:r>
      <w:r>
        <w:rPr>
          <w:rFonts w:ascii="Century" w:eastAsiaTheme="minorEastAsia" w:hAnsi="Century" w:hint="eastAsia"/>
          <w:lang w:eastAsia="ja-JP"/>
        </w:rPr>
        <w:t>標準と世界税関機構（</w:t>
      </w:r>
      <w:r>
        <w:rPr>
          <w:rFonts w:ascii="Century" w:eastAsiaTheme="minorEastAsia" w:hAnsi="Century" w:hint="eastAsia"/>
          <w:lang w:eastAsia="ja-JP"/>
        </w:rPr>
        <w:t>WCO</w:t>
      </w:r>
      <w:r>
        <w:rPr>
          <w:rFonts w:ascii="Century" w:eastAsiaTheme="minorEastAsia" w:hAnsi="Century" w:hint="eastAsia"/>
          <w:lang w:eastAsia="ja-JP"/>
        </w:rPr>
        <w:t>）データモデルとの整合化</w:t>
      </w:r>
    </w:p>
    <w:p w14:paraId="38A9507D" w14:textId="15D19E35" w:rsidR="00F52D46" w:rsidRDefault="00F52D46" w:rsidP="00041929">
      <w:pPr>
        <w:pStyle w:val="a3"/>
        <w:numPr>
          <w:ilvl w:val="0"/>
          <w:numId w:val="14"/>
        </w:numPr>
        <w:spacing w:before="13" w:line="295" w:lineRule="auto"/>
        <w:ind w:right="243"/>
        <w:rPr>
          <w:rFonts w:ascii="Century" w:eastAsiaTheme="minorEastAsia" w:hAnsi="Century"/>
          <w:lang w:eastAsia="ja-JP"/>
        </w:rPr>
      </w:pPr>
      <w:r>
        <w:rPr>
          <w:rFonts w:ascii="Century" w:eastAsiaTheme="minorEastAsia" w:hAnsi="Century" w:hint="eastAsia"/>
          <w:lang w:eastAsia="ja-JP"/>
        </w:rPr>
        <w:t>貿易円滑化へのブロックチェーン採用の可能性</w:t>
      </w:r>
    </w:p>
    <w:p w14:paraId="64AEE958" w14:textId="5533B254" w:rsidR="0044562F" w:rsidRPr="00BD5C49" w:rsidRDefault="00041929" w:rsidP="00041929">
      <w:pPr>
        <w:pStyle w:val="a3"/>
        <w:numPr>
          <w:ilvl w:val="0"/>
          <w:numId w:val="15"/>
        </w:numPr>
        <w:spacing w:before="13" w:line="295" w:lineRule="auto"/>
        <w:ind w:right="243"/>
        <w:rPr>
          <w:rFonts w:ascii="Century" w:eastAsiaTheme="minorEastAsia" w:hAnsi="Century"/>
          <w:lang w:eastAsia="ja-JP"/>
        </w:rPr>
      </w:pPr>
      <w:r>
        <w:rPr>
          <w:rFonts w:ascii="Century" w:eastAsiaTheme="minorEastAsia" w:hAnsi="Century" w:hint="eastAsia"/>
          <w:lang w:eastAsia="ja-JP"/>
        </w:rPr>
        <w:t>貿易金融</w:t>
      </w:r>
    </w:p>
    <w:p w14:paraId="5B619E0E" w14:textId="511B6590" w:rsidR="0044562F" w:rsidRDefault="00F52D46" w:rsidP="00041929">
      <w:pPr>
        <w:pStyle w:val="a3"/>
        <w:numPr>
          <w:ilvl w:val="0"/>
          <w:numId w:val="16"/>
        </w:numPr>
        <w:spacing w:before="13" w:line="295" w:lineRule="auto"/>
        <w:ind w:right="243"/>
        <w:rPr>
          <w:rFonts w:ascii="Century" w:eastAsiaTheme="minorEastAsia" w:hAnsi="Century"/>
          <w:lang w:eastAsia="ja-JP"/>
        </w:rPr>
      </w:pPr>
      <w:r>
        <w:rPr>
          <w:rFonts w:ascii="Century" w:eastAsiaTheme="minorEastAsia" w:hAnsi="Century" w:hint="eastAsia"/>
          <w:lang w:eastAsia="ja-JP"/>
        </w:rPr>
        <w:t>インボイス</w:t>
      </w:r>
      <w:r w:rsidR="00F20EA1">
        <w:rPr>
          <w:rFonts w:ascii="Century" w:eastAsiaTheme="minorEastAsia" w:hAnsi="Century" w:hint="eastAsia"/>
          <w:lang w:eastAsia="ja-JP"/>
        </w:rPr>
        <w:t>ファイナンスを可能にする「</w:t>
      </w:r>
      <w:r w:rsidR="00F20EA1">
        <w:rPr>
          <w:rFonts w:ascii="Century" w:eastAsiaTheme="minorEastAsia" w:hAnsi="Century" w:hint="eastAsia"/>
          <w:lang w:eastAsia="ja-JP"/>
        </w:rPr>
        <w:t>Check Invoice</w:t>
      </w:r>
      <w:r w:rsidR="00F20EA1">
        <w:rPr>
          <w:rFonts w:ascii="Century" w:eastAsiaTheme="minorEastAsia" w:hAnsi="Century" w:hint="eastAsia"/>
          <w:lang w:eastAsia="ja-JP"/>
        </w:rPr>
        <w:t>」サービス</w:t>
      </w:r>
    </w:p>
    <w:p w14:paraId="5C941789" w14:textId="2C98CAFA" w:rsidR="00F20EA1" w:rsidRDefault="00130867" w:rsidP="00041929">
      <w:pPr>
        <w:pStyle w:val="a3"/>
        <w:numPr>
          <w:ilvl w:val="0"/>
          <w:numId w:val="16"/>
        </w:numPr>
        <w:spacing w:before="13" w:line="295" w:lineRule="auto"/>
        <w:ind w:right="243"/>
        <w:rPr>
          <w:rFonts w:ascii="Century" w:eastAsiaTheme="minorEastAsia" w:hAnsi="Century"/>
          <w:lang w:eastAsia="ja-JP"/>
        </w:rPr>
      </w:pPr>
      <w:r>
        <w:rPr>
          <w:rFonts w:ascii="Century" w:eastAsiaTheme="minorEastAsia" w:hAnsi="Century" w:hint="eastAsia"/>
          <w:lang w:eastAsia="ja-JP"/>
        </w:rPr>
        <w:t>貿易金融プロジェクト報告</w:t>
      </w:r>
    </w:p>
    <w:p w14:paraId="773CC035" w14:textId="70A6B054" w:rsidR="00076C56" w:rsidRDefault="00076C56" w:rsidP="00041929">
      <w:pPr>
        <w:pStyle w:val="a3"/>
        <w:numPr>
          <w:ilvl w:val="0"/>
          <w:numId w:val="16"/>
        </w:numPr>
        <w:spacing w:before="13" w:line="295" w:lineRule="auto"/>
        <w:ind w:right="243"/>
        <w:rPr>
          <w:rFonts w:ascii="Century" w:eastAsiaTheme="minorEastAsia" w:hAnsi="Century"/>
          <w:lang w:eastAsia="ja-JP"/>
        </w:rPr>
      </w:pPr>
      <w:r w:rsidRPr="00076C56">
        <w:rPr>
          <w:rFonts w:ascii="Century" w:eastAsiaTheme="minorEastAsia" w:hAnsi="Century" w:hint="eastAsia"/>
          <w:lang w:eastAsia="ja-JP"/>
        </w:rPr>
        <w:t>金融通信メッセージ国際標準規格</w:t>
      </w:r>
      <w:r>
        <w:rPr>
          <w:rFonts w:ascii="Century" w:eastAsiaTheme="minorEastAsia" w:hAnsi="Century" w:hint="eastAsia"/>
          <w:lang w:eastAsia="ja-JP"/>
        </w:rPr>
        <w:t>（</w:t>
      </w:r>
      <w:r>
        <w:rPr>
          <w:rFonts w:ascii="Century" w:eastAsiaTheme="minorEastAsia" w:hAnsi="Century" w:hint="eastAsia"/>
          <w:lang w:eastAsia="ja-JP"/>
        </w:rPr>
        <w:t>ISO20022</w:t>
      </w:r>
      <w:r>
        <w:rPr>
          <w:rFonts w:ascii="Century" w:eastAsiaTheme="minorEastAsia" w:hAnsi="Century" w:hint="eastAsia"/>
          <w:lang w:eastAsia="ja-JP"/>
        </w:rPr>
        <w:t>）</w:t>
      </w:r>
    </w:p>
    <w:p w14:paraId="76B16540" w14:textId="054A3EAD" w:rsidR="00D56FA1" w:rsidRDefault="00041929" w:rsidP="00041929">
      <w:pPr>
        <w:pStyle w:val="a3"/>
        <w:numPr>
          <w:ilvl w:val="0"/>
          <w:numId w:val="17"/>
        </w:numPr>
        <w:spacing w:before="13" w:line="295" w:lineRule="auto"/>
        <w:ind w:right="243"/>
        <w:rPr>
          <w:rFonts w:ascii="Century" w:eastAsiaTheme="minorEastAsia" w:hAnsi="Century"/>
          <w:lang w:eastAsia="ja-JP"/>
        </w:rPr>
      </w:pPr>
      <w:r>
        <w:rPr>
          <w:rFonts w:ascii="Century" w:eastAsiaTheme="minorEastAsia" w:hAnsi="Century" w:hint="eastAsia"/>
          <w:lang w:eastAsia="ja-JP"/>
        </w:rPr>
        <w:t>運輸・物流</w:t>
      </w:r>
    </w:p>
    <w:p w14:paraId="50965BE3" w14:textId="3690954E" w:rsidR="00D56FA1" w:rsidRDefault="00D56FA1" w:rsidP="00041929">
      <w:pPr>
        <w:pStyle w:val="a3"/>
        <w:numPr>
          <w:ilvl w:val="0"/>
          <w:numId w:val="18"/>
        </w:numPr>
        <w:spacing w:before="13" w:line="295" w:lineRule="auto"/>
        <w:ind w:right="243"/>
        <w:rPr>
          <w:rFonts w:ascii="Century" w:eastAsiaTheme="minorEastAsia" w:hAnsi="Century"/>
          <w:lang w:eastAsia="ja-JP"/>
        </w:rPr>
      </w:pPr>
      <w:r>
        <w:rPr>
          <w:rFonts w:ascii="Century" w:eastAsiaTheme="minorEastAsia" w:hAnsi="Century" w:hint="eastAsia"/>
          <w:lang w:eastAsia="ja-JP"/>
        </w:rPr>
        <w:t>運輸・物流関連プロジェクト状況</w:t>
      </w:r>
    </w:p>
    <w:p w14:paraId="57789519" w14:textId="20C54F9C" w:rsidR="00D56FA1" w:rsidRDefault="00D56FA1" w:rsidP="00041929">
      <w:pPr>
        <w:pStyle w:val="a3"/>
        <w:numPr>
          <w:ilvl w:val="0"/>
          <w:numId w:val="18"/>
        </w:numPr>
        <w:spacing w:before="13" w:line="295" w:lineRule="auto"/>
        <w:ind w:right="243"/>
        <w:rPr>
          <w:rFonts w:ascii="Century" w:eastAsiaTheme="minorEastAsia" w:hAnsi="Century"/>
          <w:lang w:eastAsia="ja-JP"/>
        </w:rPr>
      </w:pPr>
      <w:r>
        <w:rPr>
          <w:rFonts w:ascii="Century" w:eastAsiaTheme="minorEastAsia" w:hAnsi="Century" w:hint="eastAsia"/>
          <w:lang w:eastAsia="ja-JP"/>
        </w:rPr>
        <w:lastRenderedPageBreak/>
        <w:t>電子船荷証券の実装</w:t>
      </w:r>
    </w:p>
    <w:p w14:paraId="2E9DE247" w14:textId="3A621E93" w:rsidR="00D56FA1" w:rsidRDefault="00041929" w:rsidP="00041929">
      <w:pPr>
        <w:pStyle w:val="a3"/>
        <w:numPr>
          <w:ilvl w:val="0"/>
          <w:numId w:val="19"/>
        </w:numPr>
        <w:spacing w:before="13" w:line="295" w:lineRule="auto"/>
        <w:ind w:right="243"/>
        <w:rPr>
          <w:rFonts w:ascii="Century" w:eastAsiaTheme="minorEastAsia" w:hAnsi="Century"/>
          <w:lang w:eastAsia="ja-JP"/>
        </w:rPr>
      </w:pPr>
      <w:r>
        <w:rPr>
          <w:rFonts w:ascii="Century" w:eastAsiaTheme="minorEastAsia" w:hAnsi="Century" w:hint="eastAsia"/>
          <w:lang w:eastAsia="ja-JP"/>
        </w:rPr>
        <w:t>最新技術</w:t>
      </w:r>
    </w:p>
    <w:p w14:paraId="341235CC" w14:textId="511A684F" w:rsidR="00D56FA1" w:rsidRDefault="00D56FA1" w:rsidP="00041929">
      <w:pPr>
        <w:pStyle w:val="a3"/>
        <w:numPr>
          <w:ilvl w:val="0"/>
          <w:numId w:val="20"/>
        </w:numPr>
        <w:spacing w:before="13" w:line="295" w:lineRule="auto"/>
        <w:ind w:right="243"/>
        <w:rPr>
          <w:rFonts w:ascii="Century" w:eastAsiaTheme="minorEastAsia" w:hAnsi="Century"/>
          <w:lang w:eastAsia="ja-JP"/>
        </w:rPr>
      </w:pPr>
      <w:r>
        <w:rPr>
          <w:rFonts w:ascii="Century" w:eastAsiaTheme="minorEastAsia" w:hAnsi="Century" w:hint="eastAsia"/>
          <w:lang w:eastAsia="ja-JP"/>
        </w:rPr>
        <w:t>検証可能な貿易文書</w:t>
      </w:r>
    </w:p>
    <w:p w14:paraId="66F070EA" w14:textId="5869B619" w:rsidR="00041929" w:rsidRDefault="00041929" w:rsidP="00041929">
      <w:pPr>
        <w:pStyle w:val="a3"/>
        <w:numPr>
          <w:ilvl w:val="0"/>
          <w:numId w:val="20"/>
        </w:numPr>
        <w:spacing w:before="13" w:line="295" w:lineRule="auto"/>
        <w:ind w:right="243"/>
        <w:rPr>
          <w:rFonts w:ascii="Century" w:eastAsiaTheme="minorEastAsia" w:hAnsi="Century"/>
          <w:lang w:eastAsia="ja-JP"/>
        </w:rPr>
      </w:pPr>
      <w:r>
        <w:rPr>
          <w:rFonts w:ascii="Century" w:eastAsiaTheme="minorEastAsia" w:hAnsi="Century" w:hint="eastAsia"/>
          <w:lang w:eastAsia="ja-JP"/>
        </w:rPr>
        <w:t>国連透明性プロトコル（</w:t>
      </w:r>
      <w:r>
        <w:rPr>
          <w:rFonts w:ascii="Century" w:eastAsiaTheme="minorEastAsia" w:hAnsi="Century" w:hint="eastAsia"/>
          <w:lang w:eastAsia="ja-JP"/>
        </w:rPr>
        <w:t>UNTP</w:t>
      </w:r>
      <w:r>
        <w:rPr>
          <w:rFonts w:ascii="Century" w:eastAsiaTheme="minorEastAsia" w:hAnsi="Century" w:hint="eastAsia"/>
          <w:lang w:eastAsia="ja-JP"/>
        </w:rPr>
        <w:t>）</w:t>
      </w:r>
    </w:p>
    <w:p w14:paraId="28A67C14" w14:textId="77777777" w:rsidR="00041929" w:rsidRDefault="00041929" w:rsidP="00461DE6">
      <w:pPr>
        <w:pStyle w:val="a3"/>
        <w:spacing w:before="13" w:line="295" w:lineRule="auto"/>
        <w:ind w:right="243"/>
        <w:rPr>
          <w:rFonts w:ascii="Century" w:eastAsiaTheme="minorEastAsia" w:hAnsi="Century"/>
          <w:lang w:eastAsia="ja-JP"/>
        </w:rPr>
      </w:pPr>
    </w:p>
    <w:p w14:paraId="1FF62962" w14:textId="695567A8" w:rsidR="00041929" w:rsidRDefault="00041929" w:rsidP="00461DE6">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１．貿易手続</w:t>
      </w:r>
    </w:p>
    <w:p w14:paraId="10C9A8F1" w14:textId="77777777" w:rsidR="00076C56" w:rsidRDefault="00076C56" w:rsidP="00076C56">
      <w:pPr>
        <w:pStyle w:val="a3"/>
        <w:spacing w:before="13" w:line="295" w:lineRule="auto"/>
        <w:ind w:right="243"/>
        <w:rPr>
          <w:rFonts w:ascii="Century" w:eastAsiaTheme="minorEastAsia" w:hAnsi="Century"/>
          <w:lang w:eastAsia="ja-JP"/>
        </w:rPr>
      </w:pPr>
    </w:p>
    <w:p w14:paraId="0D238A03" w14:textId="0A022ECA" w:rsidR="00041929" w:rsidRDefault="00076C56" w:rsidP="00076C56">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 xml:space="preserve">１．１　</w:t>
      </w:r>
      <w:r w:rsidR="00041929">
        <w:rPr>
          <w:rFonts w:ascii="Century" w:eastAsiaTheme="minorEastAsia" w:hAnsi="Century" w:hint="eastAsia"/>
          <w:lang w:eastAsia="ja-JP"/>
        </w:rPr>
        <w:t>国連</w:t>
      </w:r>
      <w:r w:rsidR="00041929">
        <w:rPr>
          <w:rFonts w:ascii="Century" w:eastAsiaTheme="minorEastAsia" w:hAnsi="Century" w:hint="eastAsia"/>
          <w:lang w:eastAsia="ja-JP"/>
        </w:rPr>
        <w:t>CEFACT</w:t>
      </w:r>
      <w:r w:rsidR="00041929">
        <w:rPr>
          <w:rFonts w:ascii="Century" w:eastAsiaTheme="minorEastAsia" w:hAnsi="Century" w:hint="eastAsia"/>
          <w:lang w:eastAsia="ja-JP"/>
        </w:rPr>
        <w:t>標準と世界税関機構（</w:t>
      </w:r>
      <w:r w:rsidR="00041929">
        <w:rPr>
          <w:rFonts w:ascii="Century" w:eastAsiaTheme="minorEastAsia" w:hAnsi="Century" w:hint="eastAsia"/>
          <w:lang w:eastAsia="ja-JP"/>
        </w:rPr>
        <w:t>WCO</w:t>
      </w:r>
      <w:r w:rsidR="00041929">
        <w:rPr>
          <w:rFonts w:ascii="Century" w:eastAsiaTheme="minorEastAsia" w:hAnsi="Century" w:hint="eastAsia"/>
          <w:lang w:eastAsia="ja-JP"/>
        </w:rPr>
        <w:t>）データモデルとの整合化</w:t>
      </w:r>
    </w:p>
    <w:p w14:paraId="12E40E75" w14:textId="55CCA1B2" w:rsidR="00076C56" w:rsidRDefault="001B6690" w:rsidP="001B6690">
      <w:pPr>
        <w:pStyle w:val="a3"/>
        <w:spacing w:before="13" w:line="295" w:lineRule="auto"/>
        <w:ind w:right="243" w:firstLineChars="100" w:firstLine="210"/>
        <w:rPr>
          <w:rFonts w:ascii="Century" w:eastAsiaTheme="minorEastAsia" w:hAnsi="Century"/>
          <w:lang w:eastAsia="ja-JP"/>
        </w:rPr>
      </w:pPr>
      <w:r w:rsidRPr="001B6690">
        <w:rPr>
          <w:rFonts w:ascii="Century" w:eastAsiaTheme="minorEastAsia" w:hAnsi="Century"/>
          <w:lang w:eastAsia="ja-JP"/>
        </w:rPr>
        <w:t>WCO</w:t>
      </w:r>
      <w:r w:rsidRPr="001B6690">
        <w:rPr>
          <w:rFonts w:ascii="Century" w:eastAsiaTheme="minorEastAsia" w:hAnsi="Century" w:hint="eastAsia"/>
          <w:lang w:eastAsia="ja-JP"/>
        </w:rPr>
        <w:t>と国連</w:t>
      </w:r>
      <w:r w:rsidRPr="001B6690">
        <w:rPr>
          <w:rFonts w:ascii="Century" w:eastAsiaTheme="minorEastAsia" w:hAnsi="Century"/>
          <w:lang w:eastAsia="ja-JP"/>
        </w:rPr>
        <w:t>CEFACT</w:t>
      </w:r>
      <w:r w:rsidRPr="001B6690">
        <w:rPr>
          <w:rFonts w:ascii="Century" w:eastAsiaTheme="minorEastAsia" w:hAnsi="Century" w:hint="eastAsia"/>
          <w:lang w:eastAsia="ja-JP"/>
        </w:rPr>
        <w:t>は、デジタル税関、シングルウィンドウ、そして世界規模の貿易円滑化システムを支える補完的なデータモデルを</w:t>
      </w:r>
      <w:r>
        <w:rPr>
          <w:rFonts w:ascii="Century" w:eastAsiaTheme="minorEastAsia" w:hAnsi="Century" w:hint="eastAsia"/>
          <w:lang w:eastAsia="ja-JP"/>
        </w:rPr>
        <w:t>策定し、</w:t>
      </w:r>
      <w:r w:rsidRPr="001B6690">
        <w:rPr>
          <w:rFonts w:ascii="Century" w:eastAsiaTheme="minorEastAsia" w:hAnsi="Century" w:hint="eastAsia"/>
          <w:lang w:eastAsia="ja-JP"/>
        </w:rPr>
        <w:t>維持して</w:t>
      </w:r>
      <w:r>
        <w:rPr>
          <w:rFonts w:ascii="Century" w:eastAsiaTheme="minorEastAsia" w:hAnsi="Century" w:hint="eastAsia"/>
          <w:lang w:eastAsia="ja-JP"/>
        </w:rPr>
        <w:t>いる</w:t>
      </w:r>
      <w:r w:rsidRPr="001B6690">
        <w:rPr>
          <w:rFonts w:ascii="Century" w:eastAsiaTheme="minorEastAsia" w:hAnsi="Century" w:hint="eastAsia"/>
          <w:lang w:eastAsia="ja-JP"/>
        </w:rPr>
        <w:t>。本セッションで</w:t>
      </w:r>
      <w:r w:rsidR="00C558D3">
        <w:rPr>
          <w:rFonts w:ascii="Century" w:eastAsiaTheme="minorEastAsia" w:hAnsi="Century" w:hint="eastAsia"/>
          <w:lang w:eastAsia="ja-JP"/>
        </w:rPr>
        <w:t>は</w:t>
      </w:r>
      <w:r w:rsidRPr="001B6690">
        <w:rPr>
          <w:rFonts w:ascii="Century" w:eastAsiaTheme="minorEastAsia" w:hAnsi="Century" w:hint="eastAsia"/>
          <w:lang w:eastAsia="ja-JP"/>
        </w:rPr>
        <w:t>、これ</w:t>
      </w:r>
      <w:r>
        <w:rPr>
          <w:rFonts w:ascii="Century" w:eastAsiaTheme="minorEastAsia" w:hAnsi="Century" w:hint="eastAsia"/>
          <w:lang w:eastAsia="ja-JP"/>
        </w:rPr>
        <w:t>データモデル</w:t>
      </w:r>
      <w:r w:rsidRPr="001B6690">
        <w:rPr>
          <w:rFonts w:ascii="Century" w:eastAsiaTheme="minorEastAsia" w:hAnsi="Century" w:hint="eastAsia"/>
          <w:lang w:eastAsia="ja-JP"/>
        </w:rPr>
        <w:t>のフレームワークを連携させることで相互運用性を向上させ、</w:t>
      </w:r>
      <w:r>
        <w:rPr>
          <w:rFonts w:ascii="Century" w:eastAsiaTheme="minorEastAsia" w:hAnsi="Century" w:hint="eastAsia"/>
          <w:lang w:eastAsia="ja-JP"/>
        </w:rPr>
        <w:t>各国</w:t>
      </w:r>
      <w:r w:rsidRPr="001B6690">
        <w:rPr>
          <w:rFonts w:ascii="Century" w:eastAsiaTheme="minorEastAsia" w:hAnsi="Century" w:hint="eastAsia"/>
          <w:lang w:eastAsia="ja-JP"/>
        </w:rPr>
        <w:t>の</w:t>
      </w:r>
      <w:r>
        <w:rPr>
          <w:rFonts w:ascii="Century" w:eastAsiaTheme="minorEastAsia" w:hAnsi="Century" w:hint="eastAsia"/>
          <w:lang w:eastAsia="ja-JP"/>
        </w:rPr>
        <w:t>貿易手続の</w:t>
      </w:r>
      <w:r w:rsidRPr="001B6690">
        <w:rPr>
          <w:rFonts w:ascii="Century" w:eastAsiaTheme="minorEastAsia" w:hAnsi="Century" w:hint="eastAsia"/>
          <w:lang w:eastAsia="ja-JP"/>
        </w:rPr>
        <w:t>デジタル変革を支援し、規制分野やビジネス分野をまたがる信頼できるデータ交換を実現する</w:t>
      </w:r>
      <w:r>
        <w:rPr>
          <w:rFonts w:ascii="Century" w:eastAsiaTheme="minorEastAsia" w:hAnsi="Century" w:hint="eastAsia"/>
          <w:lang w:eastAsia="ja-JP"/>
        </w:rPr>
        <w:t>取組が紹介された</w:t>
      </w:r>
      <w:r w:rsidRPr="001B6690">
        <w:rPr>
          <w:rFonts w:ascii="Century" w:eastAsiaTheme="minorEastAsia" w:hAnsi="Century" w:hint="eastAsia"/>
          <w:lang w:eastAsia="ja-JP"/>
        </w:rPr>
        <w:t>。</w:t>
      </w:r>
    </w:p>
    <w:p w14:paraId="335B706E" w14:textId="0E4E1CDE" w:rsidR="001B6690" w:rsidRDefault="001B6690" w:rsidP="00700954">
      <w:pPr>
        <w:pStyle w:val="a3"/>
        <w:numPr>
          <w:ilvl w:val="0"/>
          <w:numId w:val="21"/>
        </w:numPr>
        <w:spacing w:before="13" w:line="295" w:lineRule="auto"/>
        <w:ind w:right="243"/>
        <w:rPr>
          <w:rFonts w:ascii="Century" w:eastAsiaTheme="minorEastAsia" w:hAnsi="Century"/>
          <w:lang w:eastAsia="ja-JP"/>
        </w:rPr>
      </w:pPr>
      <w:r>
        <w:rPr>
          <w:rFonts w:ascii="Century" w:eastAsiaTheme="minorEastAsia" w:hAnsi="Century" w:hint="eastAsia"/>
          <w:lang w:eastAsia="ja-JP"/>
        </w:rPr>
        <w:t>WCO</w:t>
      </w:r>
      <w:r>
        <w:rPr>
          <w:rFonts w:ascii="Century" w:eastAsiaTheme="minorEastAsia" w:hAnsi="Century" w:hint="eastAsia"/>
          <w:lang w:eastAsia="ja-JP"/>
        </w:rPr>
        <w:t>では</w:t>
      </w:r>
      <w:r>
        <w:rPr>
          <w:rFonts w:ascii="Century" w:eastAsiaTheme="minorEastAsia" w:hAnsi="Century" w:hint="eastAsia"/>
          <w:lang w:eastAsia="ja-JP"/>
        </w:rPr>
        <w:t>20</w:t>
      </w:r>
      <w:r>
        <w:rPr>
          <w:rFonts w:ascii="Century" w:eastAsiaTheme="minorEastAsia" w:hAnsi="Century" w:hint="eastAsia"/>
          <w:lang w:eastAsia="ja-JP"/>
        </w:rPr>
        <w:t>年前に国連</w:t>
      </w:r>
      <w:r>
        <w:rPr>
          <w:rFonts w:ascii="Century" w:eastAsiaTheme="minorEastAsia" w:hAnsi="Century" w:hint="eastAsia"/>
          <w:lang w:eastAsia="ja-JP"/>
        </w:rPr>
        <w:t>CEFACT</w:t>
      </w:r>
      <w:r>
        <w:rPr>
          <w:rFonts w:ascii="Century" w:eastAsiaTheme="minorEastAsia" w:hAnsi="Century" w:hint="eastAsia"/>
          <w:lang w:eastAsia="ja-JP"/>
        </w:rPr>
        <w:t>標準をベースとしたデータモデルを策定し、現在は「</w:t>
      </w:r>
      <w:r>
        <w:rPr>
          <w:rFonts w:ascii="Century" w:eastAsiaTheme="minorEastAsia" w:hAnsi="Century" w:hint="eastAsia"/>
          <w:lang w:eastAsia="ja-JP"/>
        </w:rPr>
        <w:t>Data Model 4.2</w:t>
      </w:r>
      <w:r>
        <w:rPr>
          <w:rFonts w:ascii="Century" w:eastAsiaTheme="minorEastAsia" w:hAnsi="Century" w:hint="eastAsia"/>
          <w:lang w:eastAsia="ja-JP"/>
        </w:rPr>
        <w:t>」を発行している。更に、国連</w:t>
      </w:r>
      <w:r>
        <w:rPr>
          <w:rFonts w:ascii="Century" w:eastAsiaTheme="minorEastAsia" w:hAnsi="Century" w:hint="eastAsia"/>
          <w:lang w:eastAsia="ja-JP"/>
        </w:rPr>
        <w:t>CEFACT B-S-P (Buy-Ship-Pay)</w:t>
      </w:r>
      <w:r>
        <w:rPr>
          <w:rFonts w:ascii="Century" w:eastAsiaTheme="minorEastAsia" w:hAnsi="Century" w:hint="eastAsia"/>
          <w:lang w:eastAsia="ja-JP"/>
        </w:rPr>
        <w:t>参照データモデル、共通辞書（</w:t>
      </w:r>
      <w:r>
        <w:rPr>
          <w:rFonts w:ascii="Century" w:eastAsiaTheme="minorEastAsia" w:hAnsi="Century" w:hint="eastAsia"/>
          <w:lang w:eastAsia="ja-JP"/>
        </w:rPr>
        <w:t>CCL: Core Component Library</w:t>
      </w:r>
      <w:r>
        <w:rPr>
          <w:rFonts w:ascii="Century" w:eastAsiaTheme="minorEastAsia" w:hAnsi="Century" w:hint="eastAsia"/>
          <w:lang w:eastAsia="ja-JP"/>
        </w:rPr>
        <w:t>）</w:t>
      </w:r>
      <w:r w:rsidR="00146730">
        <w:rPr>
          <w:rFonts w:ascii="Century" w:eastAsiaTheme="minorEastAsia" w:hAnsi="Century" w:hint="eastAsia"/>
          <w:lang w:eastAsia="ja-JP"/>
        </w:rPr>
        <w:t>及びコードリストを含めて整合化を図っており、各国の税関間の相互運用性に寄与している。</w:t>
      </w:r>
    </w:p>
    <w:p w14:paraId="16867D75" w14:textId="70D055BA" w:rsidR="00146730" w:rsidRDefault="00146730" w:rsidP="00700954">
      <w:pPr>
        <w:pStyle w:val="a3"/>
        <w:numPr>
          <w:ilvl w:val="0"/>
          <w:numId w:val="21"/>
        </w:numPr>
        <w:spacing w:before="13" w:line="295" w:lineRule="auto"/>
        <w:ind w:right="243"/>
        <w:rPr>
          <w:rFonts w:ascii="Century" w:eastAsiaTheme="minorEastAsia" w:hAnsi="Century"/>
          <w:lang w:eastAsia="ja-JP"/>
        </w:rPr>
      </w:pPr>
      <w:r>
        <w:rPr>
          <w:rFonts w:ascii="Century" w:eastAsiaTheme="minorEastAsia" w:hAnsi="Century" w:hint="eastAsia"/>
          <w:lang w:eastAsia="ja-JP"/>
        </w:rPr>
        <w:t>国連</w:t>
      </w:r>
      <w:r>
        <w:rPr>
          <w:rFonts w:ascii="Century" w:eastAsiaTheme="minorEastAsia" w:hAnsi="Century" w:hint="eastAsia"/>
          <w:lang w:eastAsia="ja-JP"/>
        </w:rPr>
        <w:t>CEFACT</w:t>
      </w:r>
      <w:r>
        <w:rPr>
          <w:rFonts w:ascii="Century" w:eastAsiaTheme="minorEastAsia" w:hAnsi="Century" w:hint="eastAsia"/>
          <w:lang w:eastAsia="ja-JP"/>
        </w:rPr>
        <w:t>では、</w:t>
      </w:r>
      <w:r>
        <w:rPr>
          <w:rFonts w:ascii="Century" w:eastAsiaTheme="minorEastAsia" w:hAnsi="Century" w:hint="eastAsia"/>
          <w:lang w:eastAsia="ja-JP"/>
        </w:rPr>
        <w:t>B-S-P</w:t>
      </w:r>
      <w:r>
        <w:rPr>
          <w:rFonts w:ascii="Century" w:eastAsiaTheme="minorEastAsia" w:hAnsi="Century" w:hint="eastAsia"/>
          <w:lang w:eastAsia="ja-JP"/>
        </w:rPr>
        <w:t>データモデルに基づきシングルウィンドウのための</w:t>
      </w:r>
      <w:r>
        <w:rPr>
          <w:rFonts w:ascii="Century" w:eastAsiaTheme="minorEastAsia" w:hAnsi="Century" w:hint="eastAsia"/>
          <w:lang w:eastAsia="ja-JP"/>
        </w:rPr>
        <w:t>XML</w:t>
      </w:r>
      <w:r>
        <w:rPr>
          <w:rFonts w:ascii="Century" w:eastAsiaTheme="minorEastAsia" w:hAnsi="Century" w:hint="eastAsia"/>
          <w:lang w:eastAsia="ja-JP"/>
        </w:rPr>
        <w:t>、</w:t>
      </w:r>
      <w:r>
        <w:rPr>
          <w:rFonts w:ascii="Century" w:eastAsiaTheme="minorEastAsia" w:hAnsi="Century" w:hint="eastAsia"/>
          <w:lang w:eastAsia="ja-JP"/>
        </w:rPr>
        <w:t>JSON</w:t>
      </w:r>
      <w:r>
        <w:rPr>
          <w:rFonts w:ascii="Century" w:eastAsiaTheme="minorEastAsia" w:hAnsi="Century" w:hint="eastAsia"/>
          <w:lang w:eastAsia="ja-JP"/>
        </w:rPr>
        <w:t>、</w:t>
      </w:r>
      <w:r>
        <w:rPr>
          <w:rFonts w:ascii="Century" w:eastAsiaTheme="minorEastAsia" w:hAnsi="Century" w:hint="eastAsia"/>
          <w:lang w:eastAsia="ja-JP"/>
        </w:rPr>
        <w:t>API</w:t>
      </w:r>
      <w:r>
        <w:rPr>
          <w:rFonts w:ascii="Century" w:eastAsiaTheme="minorEastAsia" w:hAnsi="Century" w:hint="eastAsia"/>
          <w:lang w:eastAsia="ja-JP"/>
        </w:rPr>
        <w:t>の整備を進めている。当プロジェクトは</w:t>
      </w:r>
      <w:r>
        <w:rPr>
          <w:rFonts w:ascii="Century" w:eastAsiaTheme="minorEastAsia" w:hAnsi="Century" w:hint="eastAsia"/>
          <w:lang w:eastAsia="ja-JP"/>
        </w:rPr>
        <w:t>2026</w:t>
      </w:r>
      <w:r>
        <w:rPr>
          <w:rFonts w:ascii="Century" w:eastAsiaTheme="minorEastAsia" w:hAnsi="Century" w:hint="eastAsia"/>
          <w:lang w:eastAsia="ja-JP"/>
        </w:rPr>
        <w:t>年</w:t>
      </w:r>
      <w:r>
        <w:rPr>
          <w:rFonts w:ascii="Century" w:eastAsiaTheme="minorEastAsia" w:hAnsi="Century" w:hint="eastAsia"/>
          <w:lang w:eastAsia="ja-JP"/>
        </w:rPr>
        <w:t>7</w:t>
      </w:r>
      <w:r>
        <w:rPr>
          <w:rFonts w:ascii="Century" w:eastAsiaTheme="minorEastAsia" w:hAnsi="Century" w:hint="eastAsia"/>
          <w:lang w:eastAsia="ja-JP"/>
        </w:rPr>
        <w:t>月に完了する予定である。</w:t>
      </w:r>
    </w:p>
    <w:p w14:paraId="58573354" w14:textId="3A75F871" w:rsidR="00146730" w:rsidRDefault="00146730" w:rsidP="00700954">
      <w:pPr>
        <w:pStyle w:val="a3"/>
        <w:numPr>
          <w:ilvl w:val="0"/>
          <w:numId w:val="21"/>
        </w:numPr>
        <w:spacing w:before="13" w:line="295" w:lineRule="auto"/>
        <w:ind w:right="243"/>
        <w:rPr>
          <w:rFonts w:ascii="Century" w:eastAsiaTheme="minorEastAsia" w:hAnsi="Century"/>
          <w:lang w:eastAsia="ja-JP"/>
        </w:rPr>
      </w:pPr>
      <w:r w:rsidRPr="00146730">
        <w:rPr>
          <w:rFonts w:ascii="Century" w:eastAsiaTheme="minorEastAsia" w:hAnsi="Century" w:hint="eastAsia"/>
          <w:lang w:eastAsia="ja-JP"/>
        </w:rPr>
        <w:t>国連貿易開発会議（</w:t>
      </w:r>
      <w:r w:rsidRPr="00146730">
        <w:rPr>
          <w:rFonts w:ascii="Century" w:eastAsiaTheme="minorEastAsia" w:hAnsi="Century"/>
          <w:lang w:eastAsia="ja-JP"/>
        </w:rPr>
        <w:t>UNCTAD</w:t>
      </w:r>
      <w:r w:rsidRPr="00146730">
        <w:rPr>
          <w:rFonts w:ascii="Century" w:eastAsiaTheme="minorEastAsia" w:hAnsi="Century" w:hint="eastAsia"/>
          <w:lang w:eastAsia="ja-JP"/>
        </w:rPr>
        <w:t>）が開発した、国際貿易・税関手続きを電子化・自動化するためのシステム</w:t>
      </w:r>
      <w:r>
        <w:rPr>
          <w:rFonts w:ascii="Century" w:eastAsiaTheme="minorEastAsia" w:hAnsi="Century" w:hint="eastAsia"/>
          <w:lang w:eastAsia="ja-JP"/>
        </w:rPr>
        <w:t>：</w:t>
      </w:r>
      <w:r>
        <w:rPr>
          <w:rFonts w:ascii="Century" w:eastAsiaTheme="minorEastAsia" w:hAnsi="Century" w:hint="eastAsia"/>
          <w:lang w:eastAsia="ja-JP"/>
        </w:rPr>
        <w:t>ASYCUDA</w:t>
      </w:r>
      <w:r w:rsidRPr="00146730">
        <w:rPr>
          <w:rFonts w:ascii="Century" w:eastAsiaTheme="minorEastAsia" w:hAnsi="Century" w:hint="eastAsia"/>
          <w:lang w:eastAsia="ja-JP"/>
        </w:rPr>
        <w:t>（</w:t>
      </w:r>
      <w:r w:rsidRPr="00146730">
        <w:rPr>
          <w:rFonts w:ascii="Century" w:eastAsiaTheme="minorEastAsia" w:hAnsi="Century"/>
          <w:lang w:eastAsia="ja-JP"/>
        </w:rPr>
        <w:t xml:space="preserve">Automated </w:t>
      </w:r>
      <w:proofErr w:type="spellStart"/>
      <w:r w:rsidRPr="00146730">
        <w:rPr>
          <w:rFonts w:ascii="Century" w:eastAsiaTheme="minorEastAsia" w:hAnsi="Century"/>
          <w:lang w:eastAsia="ja-JP"/>
        </w:rPr>
        <w:t>SYStem</w:t>
      </w:r>
      <w:proofErr w:type="spellEnd"/>
      <w:r w:rsidRPr="00146730">
        <w:rPr>
          <w:rFonts w:ascii="Century" w:eastAsiaTheme="minorEastAsia" w:hAnsi="Century"/>
          <w:lang w:eastAsia="ja-JP"/>
        </w:rPr>
        <w:t xml:space="preserve"> for </w:t>
      </w:r>
      <w:proofErr w:type="spellStart"/>
      <w:r w:rsidRPr="00146730">
        <w:rPr>
          <w:rFonts w:ascii="Century" w:eastAsiaTheme="minorEastAsia" w:hAnsi="Century"/>
          <w:lang w:eastAsia="ja-JP"/>
        </w:rPr>
        <w:t>CUstoms</w:t>
      </w:r>
      <w:proofErr w:type="spellEnd"/>
      <w:r w:rsidRPr="00146730">
        <w:rPr>
          <w:rFonts w:ascii="Century" w:eastAsiaTheme="minorEastAsia" w:hAnsi="Century"/>
          <w:lang w:eastAsia="ja-JP"/>
        </w:rPr>
        <w:t xml:space="preserve"> </w:t>
      </w:r>
      <w:proofErr w:type="spellStart"/>
      <w:r w:rsidRPr="00146730">
        <w:rPr>
          <w:rFonts w:ascii="Century" w:eastAsiaTheme="minorEastAsia" w:hAnsi="Century"/>
          <w:lang w:eastAsia="ja-JP"/>
        </w:rPr>
        <w:t>DAta</w:t>
      </w:r>
      <w:proofErr w:type="spellEnd"/>
      <w:r w:rsidRPr="00146730">
        <w:rPr>
          <w:rFonts w:ascii="Century" w:eastAsiaTheme="minorEastAsia" w:hAnsi="Century" w:hint="eastAsia"/>
          <w:lang w:eastAsia="ja-JP"/>
        </w:rPr>
        <w:t>）</w:t>
      </w:r>
      <w:r>
        <w:rPr>
          <w:rFonts w:ascii="Century" w:eastAsiaTheme="minorEastAsia" w:hAnsi="Century" w:hint="eastAsia"/>
          <w:lang w:eastAsia="ja-JP"/>
        </w:rPr>
        <w:t>は世界の</w:t>
      </w:r>
      <w:r>
        <w:rPr>
          <w:rFonts w:ascii="Century" w:eastAsiaTheme="minorEastAsia" w:hAnsi="Century" w:hint="eastAsia"/>
          <w:lang w:eastAsia="ja-JP"/>
        </w:rPr>
        <w:t>103</w:t>
      </w:r>
      <w:r>
        <w:rPr>
          <w:rFonts w:ascii="Century" w:eastAsiaTheme="minorEastAsia" w:hAnsi="Century" w:hint="eastAsia"/>
          <w:lang w:eastAsia="ja-JP"/>
        </w:rPr>
        <w:t>か国に導入されている</w:t>
      </w:r>
      <w:r w:rsidRPr="00146730">
        <w:rPr>
          <w:rFonts w:ascii="Century" w:eastAsiaTheme="minorEastAsia" w:hAnsi="Century" w:hint="eastAsia"/>
          <w:lang w:eastAsia="ja-JP"/>
        </w:rPr>
        <w:t>。</w:t>
      </w:r>
      <w:r w:rsidR="008F7E53">
        <w:rPr>
          <w:rFonts w:ascii="Century" w:eastAsiaTheme="minorEastAsia" w:hAnsi="Century" w:hint="eastAsia"/>
          <w:lang w:eastAsia="ja-JP"/>
        </w:rPr>
        <w:t>ASYCUDA</w:t>
      </w:r>
      <w:r w:rsidR="008F7E53">
        <w:rPr>
          <w:rFonts w:ascii="Century" w:eastAsiaTheme="minorEastAsia" w:hAnsi="Century" w:hint="eastAsia"/>
          <w:lang w:eastAsia="ja-JP"/>
        </w:rPr>
        <w:t>のデータ要素は</w:t>
      </w:r>
      <w:r w:rsidR="008F7E53">
        <w:rPr>
          <w:rFonts w:ascii="Century" w:eastAsiaTheme="minorEastAsia" w:hAnsi="Century" w:hint="eastAsia"/>
          <w:lang w:eastAsia="ja-JP"/>
        </w:rPr>
        <w:t>ISO7372</w:t>
      </w:r>
      <w:r w:rsidR="008F7E53">
        <w:rPr>
          <w:rFonts w:ascii="Century" w:eastAsiaTheme="minorEastAsia" w:hAnsi="Century" w:hint="eastAsia"/>
          <w:lang w:eastAsia="ja-JP"/>
        </w:rPr>
        <w:t>（</w:t>
      </w:r>
      <w:r w:rsidR="008F7E53">
        <w:rPr>
          <w:rFonts w:ascii="Century" w:eastAsiaTheme="minorEastAsia" w:hAnsi="Century" w:hint="eastAsia"/>
          <w:lang w:eastAsia="ja-JP"/>
        </w:rPr>
        <w:t>TDED: Trade Data Element Directory</w:t>
      </w:r>
      <w:r w:rsidR="008F7E53">
        <w:rPr>
          <w:rFonts w:ascii="Century" w:eastAsiaTheme="minorEastAsia" w:hAnsi="Century" w:hint="eastAsia"/>
          <w:lang w:eastAsia="ja-JP"/>
        </w:rPr>
        <w:t>）に準拠している。現在、</w:t>
      </w:r>
      <w:r w:rsidR="008F7E53">
        <w:rPr>
          <w:rFonts w:ascii="Century" w:eastAsiaTheme="minorEastAsia" w:hAnsi="Century" w:hint="eastAsia"/>
          <w:lang w:eastAsia="ja-JP"/>
        </w:rPr>
        <w:t>E</w:t>
      </w:r>
      <w:r w:rsidR="008F7E53">
        <w:rPr>
          <w:rFonts w:ascii="Century" w:eastAsiaTheme="minorEastAsia" w:hAnsi="Century" w:hint="eastAsia"/>
          <w:lang w:eastAsia="ja-JP"/>
        </w:rPr>
        <w:t>コマースの輸出入プロセスに対応できる、郵便システム</w:t>
      </w:r>
      <w:r w:rsidR="00C558D3">
        <w:rPr>
          <w:rFonts w:ascii="Century" w:eastAsiaTheme="minorEastAsia" w:hAnsi="Century" w:hint="eastAsia"/>
          <w:lang w:eastAsia="ja-JP"/>
        </w:rPr>
        <w:t>と</w:t>
      </w:r>
      <w:r w:rsidR="008F7E53">
        <w:rPr>
          <w:rFonts w:ascii="Century" w:eastAsiaTheme="minorEastAsia" w:hAnsi="Century" w:hint="eastAsia"/>
          <w:lang w:eastAsia="ja-JP"/>
        </w:rPr>
        <w:t>税関システムの統合化を進めている。</w:t>
      </w:r>
    </w:p>
    <w:p w14:paraId="3FEF66C3" w14:textId="5F9AC89D" w:rsidR="008F7E53" w:rsidRDefault="008F7E53" w:rsidP="00700954">
      <w:pPr>
        <w:pStyle w:val="a3"/>
        <w:numPr>
          <w:ilvl w:val="0"/>
          <w:numId w:val="21"/>
        </w:numPr>
        <w:spacing w:before="13" w:line="295" w:lineRule="auto"/>
        <w:ind w:right="243"/>
        <w:rPr>
          <w:rFonts w:ascii="Century" w:eastAsiaTheme="minorEastAsia" w:hAnsi="Century"/>
          <w:lang w:eastAsia="ja-JP"/>
        </w:rPr>
      </w:pPr>
      <w:r>
        <w:rPr>
          <w:rFonts w:ascii="Century" w:eastAsiaTheme="minorEastAsia" w:hAnsi="Century" w:hint="eastAsia"/>
          <w:lang w:eastAsia="ja-JP"/>
        </w:rPr>
        <w:t>税関の観点からは、</w:t>
      </w:r>
      <w:r w:rsidR="00700954">
        <w:rPr>
          <w:rFonts w:ascii="Century" w:eastAsiaTheme="minorEastAsia" w:hAnsi="Century" w:hint="eastAsia"/>
          <w:lang w:eastAsia="ja-JP"/>
        </w:rPr>
        <w:t>政策（</w:t>
      </w:r>
      <w:r w:rsidR="00700954">
        <w:rPr>
          <w:rFonts w:ascii="Century" w:eastAsiaTheme="minorEastAsia" w:hAnsi="Century" w:hint="eastAsia"/>
          <w:lang w:eastAsia="ja-JP"/>
        </w:rPr>
        <w:t>Policy</w:t>
      </w:r>
      <w:r w:rsidR="00700954">
        <w:rPr>
          <w:rFonts w:ascii="Century" w:eastAsiaTheme="minorEastAsia" w:hAnsi="Century" w:hint="eastAsia"/>
          <w:lang w:eastAsia="ja-JP"/>
        </w:rPr>
        <w:t>）とデータモデルの整合化、及び税関データと取引データとのつながりが重要である。現在、国連</w:t>
      </w:r>
      <w:r w:rsidR="00700954">
        <w:rPr>
          <w:rFonts w:ascii="Century" w:eastAsiaTheme="minorEastAsia" w:hAnsi="Century" w:hint="eastAsia"/>
          <w:lang w:eastAsia="ja-JP"/>
        </w:rPr>
        <w:t>CEFACT</w:t>
      </w:r>
      <w:r w:rsidR="00700954">
        <w:rPr>
          <w:rFonts w:ascii="Century" w:eastAsiaTheme="minorEastAsia" w:hAnsi="Century" w:hint="eastAsia"/>
          <w:lang w:eastAsia="ja-JP"/>
        </w:rPr>
        <w:t>と</w:t>
      </w:r>
      <w:r w:rsidR="00700954">
        <w:rPr>
          <w:rFonts w:ascii="Century" w:eastAsiaTheme="minorEastAsia" w:hAnsi="Century" w:hint="eastAsia"/>
          <w:lang w:eastAsia="ja-JP"/>
        </w:rPr>
        <w:t>WCO</w:t>
      </w:r>
      <w:r w:rsidR="00700954">
        <w:rPr>
          <w:rFonts w:ascii="Century" w:eastAsiaTheme="minorEastAsia" w:hAnsi="Century" w:hint="eastAsia"/>
          <w:lang w:eastAsia="ja-JP"/>
        </w:rPr>
        <w:t>の合同作業グループで、それらの検討を行っている。</w:t>
      </w:r>
    </w:p>
    <w:p w14:paraId="1C2F8202" w14:textId="77777777" w:rsidR="00700954" w:rsidRDefault="00700954" w:rsidP="001B6690">
      <w:pPr>
        <w:pStyle w:val="a3"/>
        <w:spacing w:before="13" w:line="295" w:lineRule="auto"/>
        <w:ind w:right="243"/>
        <w:rPr>
          <w:rFonts w:ascii="Century" w:eastAsiaTheme="minorEastAsia" w:hAnsi="Century"/>
          <w:lang w:eastAsia="ja-JP"/>
        </w:rPr>
      </w:pPr>
    </w:p>
    <w:p w14:paraId="277249C4" w14:textId="7C68D4C2" w:rsidR="00041929" w:rsidRDefault="00076C56" w:rsidP="00076C56">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 xml:space="preserve">１．２　</w:t>
      </w:r>
      <w:r w:rsidR="00041929">
        <w:rPr>
          <w:rFonts w:ascii="Century" w:eastAsiaTheme="minorEastAsia" w:hAnsi="Century" w:hint="eastAsia"/>
          <w:lang w:eastAsia="ja-JP"/>
        </w:rPr>
        <w:t>貿易円滑化へのブロックチェーン採用の可能性</w:t>
      </w:r>
    </w:p>
    <w:p w14:paraId="3A6DC1FB" w14:textId="137A98BD" w:rsidR="00041929" w:rsidRDefault="006221F5" w:rsidP="006221F5">
      <w:pPr>
        <w:pStyle w:val="a3"/>
        <w:spacing w:before="13" w:line="295" w:lineRule="auto"/>
        <w:ind w:right="243" w:firstLineChars="100" w:firstLine="210"/>
        <w:rPr>
          <w:rFonts w:ascii="Century" w:eastAsiaTheme="minorEastAsia" w:hAnsi="Century"/>
          <w:lang w:eastAsia="ja-JP"/>
        </w:rPr>
      </w:pPr>
      <w:r w:rsidRPr="006221F5">
        <w:rPr>
          <w:rFonts w:ascii="Century" w:eastAsiaTheme="minorEastAsia" w:hAnsi="Century" w:hint="eastAsia"/>
          <w:lang w:eastAsia="ja-JP"/>
        </w:rPr>
        <w:t>国連開発プロジェクト「貿易円滑化と競争力のためのブロックチェーン」の主要な知見と成果</w:t>
      </w:r>
      <w:r>
        <w:rPr>
          <w:rFonts w:ascii="Century" w:eastAsiaTheme="minorEastAsia" w:hAnsi="Century" w:hint="eastAsia"/>
          <w:lang w:eastAsia="ja-JP"/>
        </w:rPr>
        <w:t>について、</w:t>
      </w:r>
      <w:r w:rsidRPr="006221F5">
        <w:rPr>
          <w:rFonts w:ascii="Century" w:eastAsiaTheme="minorEastAsia" w:hAnsi="Century" w:hint="eastAsia"/>
          <w:lang w:eastAsia="ja-JP"/>
        </w:rPr>
        <w:t>特に開発途上国における貿易手続きの合理化、透明性の向上、取引コストの削減といったブロックチェーンの</w:t>
      </w:r>
      <w:r w:rsidR="00CA3A09">
        <w:rPr>
          <w:rFonts w:ascii="Century" w:eastAsiaTheme="minorEastAsia" w:hAnsi="Century" w:hint="eastAsia"/>
          <w:lang w:eastAsia="ja-JP"/>
        </w:rPr>
        <w:t>導入調査および実証実験</w:t>
      </w:r>
      <w:r w:rsidRPr="006221F5">
        <w:rPr>
          <w:rFonts w:ascii="Century" w:eastAsiaTheme="minorEastAsia" w:hAnsi="Century" w:hint="eastAsia"/>
          <w:lang w:eastAsia="ja-JP"/>
        </w:rPr>
        <w:t>について</w:t>
      </w:r>
      <w:r>
        <w:rPr>
          <w:rFonts w:ascii="Century" w:eastAsiaTheme="minorEastAsia" w:hAnsi="Century" w:hint="eastAsia"/>
          <w:lang w:eastAsia="ja-JP"/>
        </w:rPr>
        <w:t>紹介が行われた。</w:t>
      </w:r>
    </w:p>
    <w:p w14:paraId="69D97FD2" w14:textId="6EEAA45F" w:rsidR="006867B1" w:rsidRDefault="006221F5" w:rsidP="00CA3A09">
      <w:pPr>
        <w:pStyle w:val="a3"/>
        <w:numPr>
          <w:ilvl w:val="0"/>
          <w:numId w:val="22"/>
        </w:numPr>
        <w:spacing w:before="13" w:line="295" w:lineRule="auto"/>
        <w:ind w:right="243"/>
        <w:rPr>
          <w:rFonts w:ascii="Century" w:eastAsiaTheme="minorEastAsia" w:hAnsi="Century"/>
          <w:lang w:eastAsia="ja-JP"/>
        </w:rPr>
      </w:pPr>
      <w:r>
        <w:rPr>
          <w:rFonts w:ascii="Century" w:eastAsiaTheme="minorEastAsia" w:hAnsi="Century" w:hint="eastAsia"/>
          <w:lang w:eastAsia="ja-JP"/>
        </w:rPr>
        <w:t>UNCTAD</w:t>
      </w:r>
      <w:r>
        <w:rPr>
          <w:rFonts w:ascii="Century" w:eastAsiaTheme="minorEastAsia" w:hAnsi="Century" w:hint="eastAsia"/>
          <w:lang w:eastAsia="ja-JP"/>
        </w:rPr>
        <w:t>がプロジェクトの一環として整備した「研修コース」「ガイド」「チェックリスト」</w:t>
      </w:r>
      <w:r w:rsidR="00306B0C">
        <w:rPr>
          <w:rFonts w:ascii="Century" w:eastAsiaTheme="minorEastAsia" w:hAnsi="Century" w:hint="eastAsia"/>
          <w:lang w:eastAsia="ja-JP"/>
        </w:rPr>
        <w:t>などの紹介が行われた。</w:t>
      </w:r>
    </w:p>
    <w:p w14:paraId="280AFEDB" w14:textId="5ED8BC9C" w:rsidR="00306B0C" w:rsidRDefault="00C558D3" w:rsidP="00CA3A09">
      <w:pPr>
        <w:pStyle w:val="a3"/>
        <w:numPr>
          <w:ilvl w:val="0"/>
          <w:numId w:val="22"/>
        </w:numPr>
        <w:spacing w:before="13" w:line="295" w:lineRule="auto"/>
        <w:ind w:right="243"/>
        <w:rPr>
          <w:rFonts w:ascii="Century" w:eastAsiaTheme="minorEastAsia" w:hAnsi="Century"/>
          <w:lang w:eastAsia="ja-JP"/>
        </w:rPr>
      </w:pPr>
      <w:bookmarkStart w:id="0" w:name="_Hlk216085209"/>
      <w:r w:rsidRPr="00C558D3">
        <w:rPr>
          <w:rFonts w:ascii="Century" w:eastAsiaTheme="minorEastAsia" w:hAnsi="Century" w:hint="eastAsia"/>
          <w:lang w:eastAsia="ja-JP"/>
        </w:rPr>
        <w:t>国連アジア太平洋経済社会委員会</w:t>
      </w:r>
      <w:r w:rsidRPr="00C558D3">
        <w:rPr>
          <w:rFonts w:ascii="Century" w:eastAsiaTheme="minorEastAsia" w:hAnsi="Century"/>
          <w:lang w:eastAsia="ja-JP"/>
        </w:rPr>
        <w:t xml:space="preserve"> </w:t>
      </w:r>
      <w:r>
        <w:rPr>
          <w:rFonts w:ascii="Century" w:eastAsiaTheme="minorEastAsia" w:hAnsi="Century" w:hint="eastAsia"/>
          <w:lang w:eastAsia="ja-JP"/>
        </w:rPr>
        <w:t>（</w:t>
      </w:r>
      <w:r w:rsidR="00306B0C">
        <w:rPr>
          <w:rFonts w:ascii="Century" w:eastAsiaTheme="minorEastAsia" w:hAnsi="Century" w:hint="eastAsia"/>
          <w:lang w:eastAsia="ja-JP"/>
        </w:rPr>
        <w:t>UNESCAP</w:t>
      </w:r>
      <w:r>
        <w:rPr>
          <w:rFonts w:ascii="Century" w:eastAsiaTheme="minorEastAsia" w:hAnsi="Century" w:hint="eastAsia"/>
          <w:lang w:eastAsia="ja-JP"/>
        </w:rPr>
        <w:t>）</w:t>
      </w:r>
      <w:bookmarkEnd w:id="0"/>
      <w:r w:rsidR="00306B0C">
        <w:rPr>
          <w:rFonts w:ascii="Century" w:eastAsiaTheme="minorEastAsia" w:hAnsi="Century" w:hint="eastAsia"/>
          <w:lang w:eastAsia="ja-JP"/>
        </w:rPr>
        <w:t>がモンゴルで実施した「通関」「原産地証明」「トレーサビリティ」「貿易回廊」「貿易金融」へのブロックチェーンの適用実験につき紹介が行われた。</w:t>
      </w:r>
    </w:p>
    <w:p w14:paraId="2D7F78C2" w14:textId="164A97FE" w:rsidR="00306B0C" w:rsidRDefault="00306B0C" w:rsidP="00CA3A09">
      <w:pPr>
        <w:pStyle w:val="a3"/>
        <w:numPr>
          <w:ilvl w:val="0"/>
          <w:numId w:val="22"/>
        </w:numPr>
        <w:spacing w:before="13" w:line="295" w:lineRule="auto"/>
        <w:ind w:right="243"/>
        <w:rPr>
          <w:rFonts w:ascii="Century" w:eastAsiaTheme="minorEastAsia" w:hAnsi="Century"/>
          <w:lang w:eastAsia="ja-JP"/>
        </w:rPr>
      </w:pPr>
      <w:r>
        <w:rPr>
          <w:rFonts w:ascii="Century" w:eastAsiaTheme="minorEastAsia" w:hAnsi="Century" w:hint="eastAsia"/>
          <w:lang w:eastAsia="ja-JP"/>
        </w:rPr>
        <w:t>ラテンアメリカについては、ペルー</w:t>
      </w:r>
      <w:r w:rsidR="00507AAD">
        <w:rPr>
          <w:rFonts w:ascii="Century" w:eastAsiaTheme="minorEastAsia" w:hAnsi="Century" w:hint="eastAsia"/>
          <w:lang w:eastAsia="ja-JP"/>
        </w:rPr>
        <w:t>での</w:t>
      </w:r>
      <w:r>
        <w:rPr>
          <w:rFonts w:ascii="Century" w:eastAsiaTheme="minorEastAsia" w:hAnsi="Century" w:hint="eastAsia"/>
          <w:lang w:eastAsia="ja-JP"/>
        </w:rPr>
        <w:t>調査、ブラジル</w:t>
      </w:r>
      <w:r w:rsidR="00507AAD">
        <w:rPr>
          <w:rFonts w:ascii="Century" w:eastAsiaTheme="minorEastAsia" w:hAnsi="Century" w:hint="eastAsia"/>
          <w:lang w:eastAsia="ja-JP"/>
        </w:rPr>
        <w:t>における</w:t>
      </w:r>
      <w:r>
        <w:rPr>
          <w:rFonts w:ascii="Century" w:eastAsiaTheme="minorEastAsia" w:hAnsi="Century" w:hint="eastAsia"/>
          <w:lang w:eastAsia="ja-JP"/>
        </w:rPr>
        <w:t>蜂蜜のトレーサビリティ</w:t>
      </w:r>
      <w:r w:rsidR="00507AAD">
        <w:rPr>
          <w:rFonts w:ascii="Century" w:eastAsiaTheme="minorEastAsia" w:hAnsi="Century" w:hint="eastAsia"/>
          <w:lang w:eastAsia="ja-JP"/>
        </w:rPr>
        <w:t>実証</w:t>
      </w:r>
      <w:r>
        <w:rPr>
          <w:rFonts w:ascii="Century" w:eastAsiaTheme="minorEastAsia" w:hAnsi="Century" w:hint="eastAsia"/>
          <w:lang w:eastAsia="ja-JP"/>
        </w:rPr>
        <w:t>、</w:t>
      </w:r>
      <w:r w:rsidR="00507AAD">
        <w:rPr>
          <w:rFonts w:ascii="Century" w:eastAsiaTheme="minorEastAsia" w:hAnsi="Century" w:hint="eastAsia"/>
          <w:lang w:eastAsia="ja-JP"/>
        </w:rPr>
        <w:t>及び</w:t>
      </w:r>
      <w:r w:rsidRPr="00306B0C">
        <w:rPr>
          <w:rFonts w:ascii="Century" w:eastAsiaTheme="minorEastAsia" w:hAnsi="Century"/>
          <w:lang w:eastAsia="ja-JP"/>
        </w:rPr>
        <w:t>国連ラテンアメリカ・カリブ経済委員会</w:t>
      </w:r>
      <w:r>
        <w:rPr>
          <w:rFonts w:ascii="Century" w:eastAsiaTheme="minorEastAsia" w:hAnsi="Century" w:hint="eastAsia"/>
          <w:lang w:eastAsia="ja-JP"/>
        </w:rPr>
        <w:t>（</w:t>
      </w:r>
      <w:r>
        <w:rPr>
          <w:rFonts w:ascii="Century" w:eastAsiaTheme="minorEastAsia" w:hAnsi="Century" w:hint="eastAsia"/>
          <w:lang w:eastAsia="ja-JP"/>
        </w:rPr>
        <w:t>CEPAL</w:t>
      </w:r>
      <w:r>
        <w:rPr>
          <w:rFonts w:ascii="Century" w:eastAsiaTheme="minorEastAsia" w:hAnsi="Century" w:hint="eastAsia"/>
          <w:lang w:eastAsia="ja-JP"/>
        </w:rPr>
        <w:t>）のブロックチェー</w:t>
      </w:r>
      <w:r>
        <w:rPr>
          <w:rFonts w:ascii="Century" w:eastAsiaTheme="minorEastAsia" w:hAnsi="Century" w:hint="eastAsia"/>
          <w:lang w:eastAsia="ja-JP"/>
        </w:rPr>
        <w:lastRenderedPageBreak/>
        <w:t>ン調査／実証の活動が報告された。</w:t>
      </w:r>
    </w:p>
    <w:p w14:paraId="36936E3D" w14:textId="5624AF49" w:rsidR="00507AAD" w:rsidRDefault="00507AAD" w:rsidP="00CA3A09">
      <w:pPr>
        <w:pStyle w:val="a3"/>
        <w:numPr>
          <w:ilvl w:val="0"/>
          <w:numId w:val="22"/>
        </w:numPr>
        <w:spacing w:before="13" w:line="295" w:lineRule="auto"/>
        <w:ind w:right="243"/>
        <w:rPr>
          <w:rFonts w:ascii="Century" w:eastAsiaTheme="minorEastAsia" w:hAnsi="Century"/>
          <w:lang w:eastAsia="ja-JP"/>
        </w:rPr>
      </w:pPr>
      <w:r>
        <w:rPr>
          <w:rFonts w:ascii="Century" w:eastAsiaTheme="minorEastAsia" w:hAnsi="Century" w:hint="eastAsia"/>
          <w:lang w:eastAsia="ja-JP"/>
        </w:rPr>
        <w:t>アフリカについては、ケニヤの原産地証明及びモロッコにおける港湾システムについての研修などが紹介された。</w:t>
      </w:r>
    </w:p>
    <w:p w14:paraId="43738754" w14:textId="45604635" w:rsidR="00507AAD" w:rsidRDefault="00507AAD" w:rsidP="00CA3A09">
      <w:pPr>
        <w:pStyle w:val="a3"/>
        <w:numPr>
          <w:ilvl w:val="0"/>
          <w:numId w:val="22"/>
        </w:numPr>
        <w:spacing w:before="13" w:line="295" w:lineRule="auto"/>
        <w:ind w:right="243"/>
        <w:rPr>
          <w:rFonts w:ascii="Century" w:eastAsiaTheme="minorEastAsia" w:hAnsi="Century"/>
          <w:lang w:eastAsia="ja-JP"/>
        </w:rPr>
      </w:pPr>
      <w:r>
        <w:rPr>
          <w:rFonts w:ascii="Century" w:eastAsiaTheme="minorEastAsia" w:hAnsi="Century" w:hint="eastAsia"/>
          <w:lang w:eastAsia="ja-JP"/>
        </w:rPr>
        <w:t>中央アジアに関しては、キリギスのブロックチェーンによる貿易手続円滑化、及びウズベキスタンの</w:t>
      </w:r>
      <w:r w:rsidR="00CA3A09">
        <w:rPr>
          <w:rFonts w:ascii="Century" w:eastAsiaTheme="minorEastAsia" w:hAnsi="Century" w:hint="eastAsia"/>
          <w:lang w:eastAsia="ja-JP"/>
        </w:rPr>
        <w:t>動植物検疫証明書のパイロットプロジェクトが紹介された。</w:t>
      </w:r>
    </w:p>
    <w:p w14:paraId="5925CED9" w14:textId="77777777" w:rsidR="006867B1" w:rsidRPr="006867B1" w:rsidRDefault="006867B1" w:rsidP="00461DE6">
      <w:pPr>
        <w:pStyle w:val="a3"/>
        <w:spacing w:before="13" w:line="295" w:lineRule="auto"/>
        <w:ind w:right="243"/>
        <w:rPr>
          <w:rFonts w:ascii="Century" w:eastAsiaTheme="minorEastAsia" w:hAnsi="Century"/>
          <w:lang w:eastAsia="ja-JP"/>
        </w:rPr>
      </w:pPr>
    </w:p>
    <w:p w14:paraId="68E28F13" w14:textId="4883AA88" w:rsidR="00076C56" w:rsidRPr="00BD5C49" w:rsidRDefault="00076C56" w:rsidP="00076C56">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２．貿易金融</w:t>
      </w:r>
    </w:p>
    <w:p w14:paraId="68355E20" w14:textId="77777777" w:rsidR="006867B1" w:rsidRDefault="006867B1" w:rsidP="00076C56">
      <w:pPr>
        <w:pStyle w:val="a3"/>
        <w:spacing w:before="13" w:line="295" w:lineRule="auto"/>
        <w:ind w:right="243"/>
        <w:rPr>
          <w:rFonts w:ascii="Century" w:eastAsiaTheme="minorEastAsia" w:hAnsi="Century"/>
          <w:lang w:eastAsia="ja-JP"/>
        </w:rPr>
      </w:pPr>
    </w:p>
    <w:p w14:paraId="5697B2DA" w14:textId="13939162" w:rsidR="00076C56" w:rsidRDefault="00076C56" w:rsidP="00076C56">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２．１　インボイスファイナンスを可能にする「</w:t>
      </w:r>
      <w:r>
        <w:rPr>
          <w:rFonts w:ascii="Century" w:eastAsiaTheme="minorEastAsia" w:hAnsi="Century" w:hint="eastAsia"/>
          <w:lang w:eastAsia="ja-JP"/>
        </w:rPr>
        <w:t>Check Invoice</w:t>
      </w:r>
      <w:r>
        <w:rPr>
          <w:rFonts w:ascii="Century" w:eastAsiaTheme="minorEastAsia" w:hAnsi="Century" w:hint="eastAsia"/>
          <w:lang w:eastAsia="ja-JP"/>
        </w:rPr>
        <w:t>」サービス</w:t>
      </w:r>
    </w:p>
    <w:p w14:paraId="15CB0D93" w14:textId="69C1451A" w:rsidR="00076C56" w:rsidRDefault="00656E0E" w:rsidP="00656E0E">
      <w:pPr>
        <w:pStyle w:val="a3"/>
        <w:spacing w:before="13" w:line="295" w:lineRule="auto"/>
        <w:ind w:right="243" w:firstLineChars="100" w:firstLine="210"/>
        <w:rPr>
          <w:rFonts w:ascii="Century" w:eastAsiaTheme="minorEastAsia" w:hAnsi="Century"/>
          <w:lang w:eastAsia="ja-JP"/>
        </w:rPr>
      </w:pPr>
      <w:r>
        <w:rPr>
          <w:rFonts w:ascii="Century" w:eastAsiaTheme="minorEastAsia" w:hAnsi="Century" w:hint="eastAsia"/>
          <w:lang w:eastAsia="ja-JP"/>
        </w:rPr>
        <w:t>インボイス</w:t>
      </w:r>
      <w:r w:rsidRPr="00656E0E">
        <w:rPr>
          <w:rFonts w:ascii="Century" w:eastAsiaTheme="minorEastAsia" w:hAnsi="Century" w:hint="eastAsia"/>
          <w:lang w:eastAsia="ja-JP"/>
        </w:rPr>
        <w:t>ファイナンスに関する情報の整合性を保証</w:t>
      </w:r>
      <w:r>
        <w:rPr>
          <w:rFonts w:ascii="Century" w:eastAsiaTheme="minorEastAsia" w:hAnsi="Century" w:hint="eastAsia"/>
          <w:lang w:eastAsia="ja-JP"/>
        </w:rPr>
        <w:t>する仕組みを提供する「</w:t>
      </w:r>
      <w:r w:rsidRPr="00656E0E">
        <w:rPr>
          <w:rFonts w:ascii="Century" w:eastAsiaTheme="minorEastAsia" w:hAnsi="Century"/>
          <w:lang w:eastAsia="ja-JP"/>
        </w:rPr>
        <w:t>Check Invoice</w:t>
      </w:r>
      <w:r>
        <w:rPr>
          <w:rFonts w:ascii="Century" w:eastAsiaTheme="minorEastAsia" w:hAnsi="Century" w:hint="eastAsia"/>
          <w:lang w:eastAsia="ja-JP"/>
        </w:rPr>
        <w:t>」</w:t>
      </w:r>
      <w:r w:rsidR="000942EF">
        <w:rPr>
          <w:rFonts w:ascii="Century" w:eastAsiaTheme="minorEastAsia" w:hAnsi="Century" w:hint="eastAsia"/>
          <w:lang w:eastAsia="ja-JP"/>
        </w:rPr>
        <w:t>サービス</w:t>
      </w:r>
      <w:r w:rsidRPr="00656E0E">
        <w:rPr>
          <w:rFonts w:ascii="Century" w:eastAsiaTheme="minorEastAsia" w:hAnsi="Century"/>
          <w:lang w:eastAsia="ja-JP"/>
        </w:rPr>
        <w:t xml:space="preserve"> </w:t>
      </w:r>
      <w:r w:rsidRPr="00656E0E">
        <w:rPr>
          <w:rFonts w:ascii="Century" w:eastAsiaTheme="minorEastAsia" w:hAnsi="Century" w:hint="eastAsia"/>
          <w:lang w:eastAsia="ja-JP"/>
        </w:rPr>
        <w:t>は、標準化された</w:t>
      </w:r>
      <w:r w:rsidRPr="00656E0E">
        <w:rPr>
          <w:rFonts w:ascii="Century" w:eastAsiaTheme="minorEastAsia" w:hAnsi="Century"/>
          <w:lang w:eastAsia="ja-JP"/>
        </w:rPr>
        <w:t xml:space="preserve"> API </w:t>
      </w:r>
      <w:r w:rsidRPr="00656E0E">
        <w:rPr>
          <w:rFonts w:ascii="Century" w:eastAsiaTheme="minorEastAsia" w:hAnsi="Century" w:hint="eastAsia"/>
          <w:lang w:eastAsia="ja-JP"/>
        </w:rPr>
        <w:t>メッセージ</w:t>
      </w:r>
      <w:r w:rsidRPr="00656E0E">
        <w:rPr>
          <w:rFonts w:ascii="Century" w:eastAsiaTheme="minorEastAsia" w:hAnsi="Century"/>
          <w:lang w:eastAsia="ja-JP"/>
        </w:rPr>
        <w:t xml:space="preserve"> </w:t>
      </w:r>
      <w:r w:rsidRPr="00656E0E">
        <w:rPr>
          <w:rFonts w:ascii="Century" w:eastAsiaTheme="minorEastAsia" w:hAnsi="Century" w:hint="eastAsia"/>
          <w:lang w:eastAsia="ja-JP"/>
        </w:rPr>
        <w:t>セットに基づく安全で連携性に優れたソリューションを金融仲介機関に提供</w:t>
      </w:r>
      <w:r>
        <w:rPr>
          <w:rFonts w:ascii="Century" w:eastAsiaTheme="minorEastAsia" w:hAnsi="Century" w:hint="eastAsia"/>
          <w:lang w:eastAsia="ja-JP"/>
        </w:rPr>
        <w:t>する</w:t>
      </w:r>
      <w:r w:rsidR="000942EF">
        <w:rPr>
          <w:rFonts w:ascii="Century" w:eastAsiaTheme="minorEastAsia" w:hAnsi="Century" w:hint="eastAsia"/>
          <w:lang w:eastAsia="ja-JP"/>
        </w:rPr>
        <w:t>仕組みである</w:t>
      </w:r>
      <w:r w:rsidRPr="00656E0E">
        <w:rPr>
          <w:rFonts w:ascii="Century" w:eastAsiaTheme="minorEastAsia" w:hAnsi="Century" w:hint="eastAsia"/>
          <w:lang w:eastAsia="ja-JP"/>
        </w:rPr>
        <w:t>。</w:t>
      </w:r>
      <w:r>
        <w:rPr>
          <w:rFonts w:ascii="Century" w:eastAsiaTheme="minorEastAsia" w:hAnsi="Century" w:hint="eastAsia"/>
          <w:lang w:eastAsia="ja-JP"/>
        </w:rPr>
        <w:t>この度</w:t>
      </w:r>
      <w:r w:rsidR="000942EF">
        <w:rPr>
          <w:rFonts w:ascii="Century" w:eastAsiaTheme="minorEastAsia" w:hAnsi="Century" w:hint="eastAsia"/>
          <w:lang w:eastAsia="ja-JP"/>
        </w:rPr>
        <w:t>「</w:t>
      </w:r>
      <w:r w:rsidR="000942EF" w:rsidRPr="00656E0E">
        <w:rPr>
          <w:rFonts w:ascii="Century" w:eastAsiaTheme="minorEastAsia" w:hAnsi="Century"/>
          <w:lang w:eastAsia="ja-JP"/>
        </w:rPr>
        <w:t>Check Invoice</w:t>
      </w:r>
      <w:r w:rsidR="000942EF">
        <w:rPr>
          <w:rFonts w:ascii="Century" w:eastAsiaTheme="minorEastAsia" w:hAnsi="Century" w:hint="eastAsia"/>
          <w:lang w:eastAsia="ja-JP"/>
        </w:rPr>
        <w:t>」サービスについての業務要件仕様（</w:t>
      </w:r>
      <w:r w:rsidR="000942EF">
        <w:rPr>
          <w:rFonts w:ascii="Century" w:eastAsiaTheme="minorEastAsia" w:hAnsi="Century" w:hint="eastAsia"/>
          <w:lang w:eastAsia="ja-JP"/>
        </w:rPr>
        <w:t>BRS</w:t>
      </w:r>
      <w:r w:rsidR="000942EF">
        <w:rPr>
          <w:rFonts w:ascii="Century" w:eastAsiaTheme="minorEastAsia" w:hAnsi="Century" w:hint="eastAsia"/>
          <w:lang w:eastAsia="ja-JP"/>
        </w:rPr>
        <w:t>）ドラフトが紹介され、参加者にレビューが依頼された。</w:t>
      </w:r>
    </w:p>
    <w:p w14:paraId="58F90612" w14:textId="6A0D0131" w:rsidR="00656E0E" w:rsidRDefault="00783418" w:rsidP="00783418">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 xml:space="preserve">　「</w:t>
      </w:r>
      <w:r w:rsidRPr="00656E0E">
        <w:rPr>
          <w:rFonts w:ascii="Century" w:eastAsiaTheme="minorEastAsia" w:hAnsi="Century"/>
          <w:lang w:eastAsia="ja-JP"/>
        </w:rPr>
        <w:t>Check Invoice</w:t>
      </w:r>
      <w:r>
        <w:rPr>
          <w:rFonts w:ascii="Century" w:eastAsiaTheme="minorEastAsia" w:hAnsi="Century" w:hint="eastAsia"/>
          <w:lang w:eastAsia="ja-JP"/>
        </w:rPr>
        <w:t>」サービスのユースケースを図―１に示す。</w:t>
      </w:r>
    </w:p>
    <w:p w14:paraId="6EC31473" w14:textId="1644A002" w:rsidR="00783418" w:rsidRDefault="00783418" w:rsidP="00783418">
      <w:pPr>
        <w:pStyle w:val="a3"/>
        <w:spacing w:before="13" w:line="295" w:lineRule="auto"/>
        <w:ind w:right="243"/>
        <w:jc w:val="center"/>
        <w:rPr>
          <w:rFonts w:ascii="Century" w:eastAsiaTheme="minorEastAsia" w:hAnsi="Century"/>
          <w:lang w:eastAsia="ja-JP"/>
        </w:rPr>
      </w:pPr>
      <w:r w:rsidRPr="00783418">
        <w:rPr>
          <w:rFonts w:ascii="Century" w:eastAsiaTheme="minorEastAsia" w:hAnsi="Century"/>
          <w:noProof/>
          <w:lang w:eastAsia="ja-JP"/>
        </w:rPr>
        <w:drawing>
          <wp:inline distT="0" distB="0" distL="0" distR="0" wp14:anchorId="49D564BB" wp14:editId="7E7B13DD">
            <wp:extent cx="4984750" cy="4292600"/>
            <wp:effectExtent l="0" t="0" r="6350" b="0"/>
            <wp:docPr id="122561334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84750" cy="4292600"/>
                    </a:xfrm>
                    <a:prstGeom prst="rect">
                      <a:avLst/>
                    </a:prstGeom>
                    <a:noFill/>
                    <a:ln>
                      <a:noFill/>
                    </a:ln>
                  </pic:spPr>
                </pic:pic>
              </a:graphicData>
            </a:graphic>
          </wp:inline>
        </w:drawing>
      </w:r>
    </w:p>
    <w:p w14:paraId="0FC20396" w14:textId="21FA2DD0" w:rsidR="00783418" w:rsidRDefault="00783418" w:rsidP="00783418">
      <w:pPr>
        <w:pStyle w:val="a3"/>
        <w:spacing w:before="13" w:line="295" w:lineRule="auto"/>
        <w:ind w:right="243"/>
        <w:jc w:val="center"/>
        <w:rPr>
          <w:rFonts w:ascii="Century" w:eastAsiaTheme="minorEastAsia" w:hAnsi="Century"/>
          <w:lang w:eastAsia="ja-JP"/>
        </w:rPr>
      </w:pPr>
      <w:r>
        <w:rPr>
          <w:rFonts w:ascii="Century" w:eastAsiaTheme="minorEastAsia" w:hAnsi="Century" w:hint="eastAsia"/>
          <w:lang w:eastAsia="ja-JP"/>
        </w:rPr>
        <w:t>図―１　「</w:t>
      </w:r>
      <w:r w:rsidRPr="00656E0E">
        <w:rPr>
          <w:rFonts w:ascii="Century" w:eastAsiaTheme="minorEastAsia" w:hAnsi="Century"/>
          <w:lang w:eastAsia="ja-JP"/>
        </w:rPr>
        <w:t>Check Invoice</w:t>
      </w:r>
      <w:r>
        <w:rPr>
          <w:rFonts w:ascii="Century" w:eastAsiaTheme="minorEastAsia" w:hAnsi="Century" w:hint="eastAsia"/>
          <w:lang w:eastAsia="ja-JP"/>
        </w:rPr>
        <w:t>」サービスのユースケース</w:t>
      </w:r>
    </w:p>
    <w:p w14:paraId="797DA123" w14:textId="77777777" w:rsidR="00064367" w:rsidRDefault="00064367" w:rsidP="00783418">
      <w:pPr>
        <w:pStyle w:val="a3"/>
        <w:spacing w:before="13" w:line="295" w:lineRule="auto"/>
        <w:ind w:right="243"/>
        <w:rPr>
          <w:rFonts w:ascii="Century" w:eastAsiaTheme="minorEastAsia" w:hAnsi="Century"/>
          <w:lang w:eastAsia="ja-JP"/>
        </w:rPr>
      </w:pPr>
    </w:p>
    <w:p w14:paraId="56F91EBB" w14:textId="6F06F8A4" w:rsidR="00783418" w:rsidRDefault="00E8183B" w:rsidP="00064367">
      <w:pPr>
        <w:pStyle w:val="a3"/>
        <w:numPr>
          <w:ilvl w:val="0"/>
          <w:numId w:val="24"/>
        </w:numPr>
        <w:spacing w:before="13" w:line="295" w:lineRule="auto"/>
        <w:ind w:right="243"/>
        <w:rPr>
          <w:rFonts w:ascii="Century" w:eastAsiaTheme="minorEastAsia" w:hAnsi="Century"/>
          <w:lang w:eastAsia="ja-JP"/>
        </w:rPr>
      </w:pPr>
      <w:r>
        <w:rPr>
          <w:rFonts w:ascii="Century" w:eastAsiaTheme="minorEastAsia" w:hAnsi="Century" w:hint="eastAsia"/>
          <w:lang w:eastAsia="ja-JP"/>
        </w:rPr>
        <w:t>図の上段部分は、取引における選定／契約／購買／納入／支払の全体像を示す。</w:t>
      </w:r>
    </w:p>
    <w:p w14:paraId="14720EA5" w14:textId="7FB9E405" w:rsidR="00E8183B" w:rsidRDefault="00E8183B" w:rsidP="00064367">
      <w:pPr>
        <w:pStyle w:val="a3"/>
        <w:numPr>
          <w:ilvl w:val="0"/>
          <w:numId w:val="24"/>
        </w:numPr>
        <w:spacing w:before="13" w:line="295" w:lineRule="auto"/>
        <w:ind w:right="243"/>
        <w:rPr>
          <w:rFonts w:ascii="Century" w:eastAsiaTheme="minorEastAsia" w:hAnsi="Century"/>
          <w:lang w:eastAsia="ja-JP"/>
        </w:rPr>
      </w:pPr>
      <w:r>
        <w:rPr>
          <w:rFonts w:ascii="Century" w:eastAsiaTheme="minorEastAsia" w:hAnsi="Century" w:hint="eastAsia"/>
          <w:lang w:eastAsia="ja-JP"/>
        </w:rPr>
        <w:t>図の下段部分は支払</w:t>
      </w:r>
      <w:r w:rsidR="00F5700C">
        <w:rPr>
          <w:rFonts w:ascii="Century" w:eastAsiaTheme="minorEastAsia" w:hAnsi="Century" w:hint="eastAsia"/>
          <w:lang w:eastAsia="ja-JP"/>
        </w:rPr>
        <w:t>プロセスの一部として「</w:t>
      </w:r>
      <w:r w:rsidR="00F5700C">
        <w:rPr>
          <w:rFonts w:ascii="Century" w:eastAsiaTheme="minorEastAsia" w:hAnsi="Century" w:hint="eastAsia"/>
          <w:lang w:eastAsia="ja-JP"/>
        </w:rPr>
        <w:t>Check Invoice</w:t>
      </w:r>
      <w:r w:rsidR="00F5700C">
        <w:rPr>
          <w:rFonts w:ascii="Century" w:eastAsiaTheme="minorEastAsia" w:hAnsi="Century" w:hint="eastAsia"/>
          <w:lang w:eastAsia="ja-JP"/>
        </w:rPr>
        <w:t>」サービスを利用する場合のユースケースを示している。</w:t>
      </w:r>
    </w:p>
    <w:p w14:paraId="1A9DE388" w14:textId="72FB05C0" w:rsidR="00F5700C" w:rsidRDefault="00F5700C" w:rsidP="00064367">
      <w:pPr>
        <w:pStyle w:val="a3"/>
        <w:numPr>
          <w:ilvl w:val="0"/>
          <w:numId w:val="25"/>
        </w:numPr>
        <w:spacing w:before="13" w:line="295" w:lineRule="auto"/>
        <w:ind w:right="243"/>
        <w:rPr>
          <w:rFonts w:ascii="Century" w:eastAsiaTheme="minorEastAsia" w:hAnsi="Century"/>
          <w:lang w:eastAsia="ja-JP"/>
        </w:rPr>
      </w:pPr>
      <w:r>
        <w:rPr>
          <w:rFonts w:ascii="Century" w:eastAsiaTheme="minorEastAsia" w:hAnsi="Century" w:hint="eastAsia"/>
          <w:lang w:eastAsia="ja-JP"/>
        </w:rPr>
        <w:lastRenderedPageBreak/>
        <w:t>「</w:t>
      </w:r>
      <w:r>
        <w:rPr>
          <w:rFonts w:ascii="Century" w:eastAsiaTheme="minorEastAsia" w:hAnsi="Century" w:hint="eastAsia"/>
          <w:lang w:eastAsia="ja-JP"/>
        </w:rPr>
        <w:t>Check Invoice</w:t>
      </w:r>
      <w:r>
        <w:rPr>
          <w:rFonts w:ascii="Century" w:eastAsiaTheme="minorEastAsia" w:hAnsi="Century" w:hint="eastAsia"/>
          <w:lang w:eastAsia="ja-JP"/>
        </w:rPr>
        <w:t>」の顧客は「</w:t>
      </w:r>
      <w:r>
        <w:rPr>
          <w:rFonts w:ascii="Century" w:eastAsiaTheme="minorEastAsia" w:hAnsi="Century" w:hint="eastAsia"/>
          <w:lang w:eastAsia="ja-JP"/>
        </w:rPr>
        <w:t>Calling Agent</w:t>
      </w:r>
      <w:r>
        <w:rPr>
          <w:rFonts w:ascii="Century" w:eastAsiaTheme="minorEastAsia" w:hAnsi="Century" w:hint="eastAsia"/>
          <w:lang w:eastAsia="ja-JP"/>
        </w:rPr>
        <w:t>」と呼ばれる。</w:t>
      </w:r>
    </w:p>
    <w:p w14:paraId="00474D1F" w14:textId="5539AC60" w:rsidR="00F5700C" w:rsidRDefault="00F5700C" w:rsidP="00064367">
      <w:pPr>
        <w:pStyle w:val="a3"/>
        <w:numPr>
          <w:ilvl w:val="0"/>
          <w:numId w:val="25"/>
        </w:numPr>
        <w:spacing w:before="13" w:line="295" w:lineRule="auto"/>
        <w:ind w:right="243"/>
        <w:rPr>
          <w:rFonts w:ascii="Century" w:eastAsiaTheme="minorEastAsia" w:hAnsi="Century"/>
          <w:lang w:eastAsia="ja-JP"/>
        </w:rPr>
      </w:pPr>
      <w:r>
        <w:rPr>
          <w:rFonts w:ascii="Century" w:eastAsiaTheme="minorEastAsia" w:hAnsi="Century" w:hint="eastAsia"/>
          <w:lang w:eastAsia="ja-JP"/>
        </w:rPr>
        <w:t>「</w:t>
      </w:r>
      <w:r>
        <w:rPr>
          <w:rFonts w:ascii="Century" w:eastAsiaTheme="minorEastAsia" w:hAnsi="Century" w:hint="eastAsia"/>
          <w:lang w:eastAsia="ja-JP"/>
        </w:rPr>
        <w:t>Calling Agent</w:t>
      </w:r>
      <w:r>
        <w:rPr>
          <w:rFonts w:ascii="Century" w:eastAsiaTheme="minorEastAsia" w:hAnsi="Century" w:hint="eastAsia"/>
          <w:lang w:eastAsia="ja-JP"/>
        </w:rPr>
        <w:t>」となる金融仲介業者または支払</w:t>
      </w:r>
      <w:r w:rsidR="00064367">
        <w:rPr>
          <w:rFonts w:ascii="Century" w:eastAsiaTheme="minorEastAsia" w:hAnsi="Century" w:hint="eastAsia"/>
          <w:lang w:eastAsia="ja-JP"/>
        </w:rPr>
        <w:t>サービス事業者（銀行）</w:t>
      </w:r>
      <w:r>
        <w:rPr>
          <w:rFonts w:ascii="Century" w:eastAsiaTheme="minorEastAsia" w:hAnsi="Century" w:hint="eastAsia"/>
          <w:lang w:eastAsia="ja-JP"/>
        </w:rPr>
        <w:t>は、</w:t>
      </w:r>
      <w:r>
        <w:rPr>
          <w:rFonts w:ascii="Century" w:eastAsiaTheme="minorEastAsia" w:hAnsi="Century" w:hint="eastAsia"/>
          <w:lang w:eastAsia="ja-JP"/>
        </w:rPr>
        <w:t>API</w:t>
      </w:r>
      <w:r>
        <w:rPr>
          <w:rFonts w:ascii="Century" w:eastAsiaTheme="minorEastAsia" w:hAnsi="Century" w:hint="eastAsia"/>
          <w:lang w:eastAsia="ja-JP"/>
        </w:rPr>
        <w:t>や</w:t>
      </w:r>
      <w:r>
        <w:rPr>
          <w:rFonts w:ascii="Century" w:eastAsiaTheme="minorEastAsia" w:hAnsi="Century" w:hint="eastAsia"/>
          <w:lang w:eastAsia="ja-JP"/>
        </w:rPr>
        <w:t>WEB GUI</w:t>
      </w:r>
      <w:r>
        <w:rPr>
          <w:rFonts w:ascii="Century" w:eastAsiaTheme="minorEastAsia" w:hAnsi="Century" w:hint="eastAsia"/>
          <w:lang w:eastAsia="ja-JP"/>
        </w:rPr>
        <w:t>を通じて「</w:t>
      </w:r>
      <w:r>
        <w:rPr>
          <w:rFonts w:ascii="Century" w:eastAsiaTheme="minorEastAsia" w:hAnsi="Century" w:hint="eastAsia"/>
          <w:lang w:eastAsia="ja-JP"/>
        </w:rPr>
        <w:t>Check Invoice</w:t>
      </w:r>
      <w:r>
        <w:rPr>
          <w:rFonts w:ascii="Century" w:eastAsiaTheme="minorEastAsia" w:hAnsi="Century" w:hint="eastAsia"/>
          <w:lang w:eastAsia="ja-JP"/>
        </w:rPr>
        <w:t>」に接続する。</w:t>
      </w:r>
    </w:p>
    <w:p w14:paraId="5339DA10" w14:textId="4E0EDA9F" w:rsidR="00F5700C" w:rsidRDefault="00F5700C" w:rsidP="00064367">
      <w:pPr>
        <w:pStyle w:val="a3"/>
        <w:numPr>
          <w:ilvl w:val="0"/>
          <w:numId w:val="25"/>
        </w:numPr>
        <w:spacing w:before="13" w:line="295" w:lineRule="auto"/>
        <w:ind w:right="243"/>
        <w:rPr>
          <w:rFonts w:ascii="Century" w:eastAsiaTheme="minorEastAsia" w:hAnsi="Century"/>
          <w:lang w:eastAsia="ja-JP"/>
        </w:rPr>
      </w:pPr>
      <w:r>
        <w:rPr>
          <w:rFonts w:ascii="Century" w:eastAsiaTheme="minorEastAsia" w:hAnsi="Century" w:hint="eastAsia"/>
          <w:lang w:eastAsia="ja-JP"/>
        </w:rPr>
        <w:t>「</w:t>
      </w:r>
      <w:r>
        <w:rPr>
          <w:rFonts w:ascii="Century" w:eastAsiaTheme="minorEastAsia" w:hAnsi="Century" w:hint="eastAsia"/>
          <w:lang w:eastAsia="ja-JP"/>
        </w:rPr>
        <w:t>Check Invoice</w:t>
      </w:r>
      <w:r>
        <w:rPr>
          <w:rFonts w:ascii="Century" w:eastAsiaTheme="minorEastAsia" w:hAnsi="Century" w:hint="eastAsia"/>
          <w:lang w:eastAsia="ja-JP"/>
        </w:rPr>
        <w:t>」要求は支払サービスゲートウェイ経由で</w:t>
      </w:r>
      <w:r w:rsidR="00064367">
        <w:rPr>
          <w:rFonts w:ascii="Century" w:eastAsiaTheme="minorEastAsia" w:hAnsi="Century" w:hint="eastAsia"/>
          <w:lang w:eastAsia="ja-JP"/>
        </w:rPr>
        <w:t>インボイスファイナンス・レジストリに接続してインボイスの正当性を確認する。</w:t>
      </w:r>
    </w:p>
    <w:p w14:paraId="0FBDBDAF" w14:textId="77777777" w:rsidR="00783418" w:rsidRPr="00656E0E" w:rsidRDefault="00783418" w:rsidP="00783418">
      <w:pPr>
        <w:pStyle w:val="a3"/>
        <w:spacing w:before="13" w:line="295" w:lineRule="auto"/>
        <w:ind w:right="243"/>
        <w:rPr>
          <w:rFonts w:ascii="Century" w:eastAsiaTheme="minorEastAsia" w:hAnsi="Century"/>
          <w:lang w:eastAsia="ja-JP"/>
        </w:rPr>
      </w:pPr>
    </w:p>
    <w:p w14:paraId="14B54511" w14:textId="3A080FD5" w:rsidR="00076C56" w:rsidRDefault="00076C56" w:rsidP="00076C56">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２．２　貿易金融プロジェクト報告</w:t>
      </w:r>
    </w:p>
    <w:p w14:paraId="5A7C01B9" w14:textId="2D2C03CD" w:rsidR="00076C56" w:rsidRDefault="00064367" w:rsidP="00076C56">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 xml:space="preserve">　国連</w:t>
      </w:r>
      <w:r>
        <w:rPr>
          <w:rFonts w:ascii="Century" w:eastAsiaTheme="minorEastAsia" w:hAnsi="Century" w:hint="eastAsia"/>
          <w:lang w:eastAsia="ja-JP"/>
        </w:rPr>
        <w:t>CEFACT</w:t>
      </w:r>
      <w:r w:rsidR="005C464A">
        <w:rPr>
          <w:rFonts w:ascii="Century" w:eastAsiaTheme="minorEastAsia" w:hAnsi="Century" w:hint="eastAsia"/>
          <w:lang w:eastAsia="ja-JP"/>
        </w:rPr>
        <w:t>の貿易金融プロジェクトを担当している日本の菅又より、当プロジェクトの進捗状況と成果について、以下のとおり報告を行った。</w:t>
      </w:r>
    </w:p>
    <w:p w14:paraId="45622A74" w14:textId="2586341D" w:rsidR="005C464A" w:rsidRDefault="005C464A" w:rsidP="00B26219">
      <w:pPr>
        <w:pStyle w:val="a3"/>
        <w:numPr>
          <w:ilvl w:val="0"/>
          <w:numId w:val="26"/>
        </w:numPr>
        <w:spacing w:before="13" w:line="295" w:lineRule="auto"/>
        <w:ind w:right="243"/>
        <w:rPr>
          <w:rFonts w:ascii="Century" w:eastAsiaTheme="minorEastAsia" w:hAnsi="Century"/>
          <w:lang w:eastAsia="ja-JP"/>
        </w:rPr>
      </w:pPr>
      <w:r>
        <w:rPr>
          <w:rFonts w:ascii="Century" w:eastAsiaTheme="minorEastAsia" w:hAnsi="Century" w:hint="eastAsia"/>
          <w:lang w:eastAsia="ja-JP"/>
        </w:rPr>
        <w:t>貿易における商流・物流・金流プロセスにおいて、当プロジェクトで策定及び改定した箇所の紹介</w:t>
      </w:r>
      <w:r w:rsidR="00270DB8">
        <w:rPr>
          <w:rFonts w:ascii="Century" w:eastAsiaTheme="minorEastAsia" w:hAnsi="Century" w:hint="eastAsia"/>
          <w:lang w:eastAsia="ja-JP"/>
        </w:rPr>
        <w:t>（図―２の朱書き箇所）。</w:t>
      </w:r>
    </w:p>
    <w:p w14:paraId="1559360D" w14:textId="24041167" w:rsidR="005C464A" w:rsidRDefault="00270DB8" w:rsidP="00B26219">
      <w:pPr>
        <w:pStyle w:val="a3"/>
        <w:spacing w:before="13" w:line="295" w:lineRule="auto"/>
        <w:ind w:right="243"/>
        <w:jc w:val="center"/>
        <w:rPr>
          <w:rFonts w:ascii="Century" w:eastAsiaTheme="minorEastAsia" w:hAnsi="Century"/>
          <w:lang w:eastAsia="ja-JP"/>
        </w:rPr>
      </w:pPr>
      <w:r w:rsidRPr="00270DB8">
        <w:rPr>
          <w:rFonts w:hint="eastAsia"/>
          <w:noProof/>
        </w:rPr>
        <w:drawing>
          <wp:inline distT="0" distB="0" distL="0" distR="0" wp14:anchorId="2BB04C0B" wp14:editId="578CA47E">
            <wp:extent cx="5130800" cy="2719382"/>
            <wp:effectExtent l="19050" t="19050" r="12700" b="24130"/>
            <wp:docPr id="482571309"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32455" cy="2720259"/>
                    </a:xfrm>
                    <a:prstGeom prst="rect">
                      <a:avLst/>
                    </a:prstGeom>
                    <a:noFill/>
                    <a:ln>
                      <a:solidFill>
                        <a:schemeClr val="accent1"/>
                      </a:solidFill>
                    </a:ln>
                  </pic:spPr>
                </pic:pic>
              </a:graphicData>
            </a:graphic>
          </wp:inline>
        </w:drawing>
      </w:r>
    </w:p>
    <w:p w14:paraId="0680158E" w14:textId="552A46D7" w:rsidR="005C464A" w:rsidRDefault="00B26219" w:rsidP="00B26219">
      <w:pPr>
        <w:pStyle w:val="a3"/>
        <w:spacing w:before="13" w:line="295" w:lineRule="auto"/>
        <w:ind w:right="243"/>
        <w:jc w:val="center"/>
        <w:rPr>
          <w:rFonts w:ascii="Century" w:eastAsiaTheme="minorEastAsia" w:hAnsi="Century"/>
          <w:lang w:eastAsia="ja-JP"/>
        </w:rPr>
      </w:pPr>
      <w:r>
        <w:rPr>
          <w:rFonts w:ascii="Century" w:eastAsiaTheme="minorEastAsia" w:hAnsi="Century" w:hint="eastAsia"/>
          <w:lang w:eastAsia="ja-JP"/>
        </w:rPr>
        <w:t>図―２　貿易金融プロジェクト対象範囲</w:t>
      </w:r>
    </w:p>
    <w:p w14:paraId="58645058" w14:textId="7C6842A1" w:rsidR="005C464A" w:rsidRDefault="00B26219" w:rsidP="00B26219">
      <w:pPr>
        <w:pStyle w:val="a3"/>
        <w:numPr>
          <w:ilvl w:val="0"/>
          <w:numId w:val="27"/>
        </w:numPr>
        <w:spacing w:before="13" w:line="295" w:lineRule="auto"/>
        <w:ind w:right="243"/>
        <w:rPr>
          <w:rFonts w:ascii="Century" w:eastAsiaTheme="minorEastAsia" w:hAnsi="Century"/>
          <w:lang w:eastAsia="ja-JP"/>
        </w:rPr>
      </w:pPr>
      <w:r>
        <w:rPr>
          <w:rFonts w:ascii="Century" w:eastAsiaTheme="minorEastAsia" w:hAnsi="Century" w:hint="eastAsia"/>
          <w:lang w:eastAsia="ja-JP"/>
        </w:rPr>
        <w:t>当プロジェクト対象プロセスの標準化成果と進捗状況。</w:t>
      </w:r>
    </w:p>
    <w:p w14:paraId="5D30BE89" w14:textId="473A9A14" w:rsidR="00B26219" w:rsidRDefault="00B26219" w:rsidP="00B26219">
      <w:pPr>
        <w:pStyle w:val="a3"/>
        <w:numPr>
          <w:ilvl w:val="0"/>
          <w:numId w:val="27"/>
        </w:numPr>
        <w:spacing w:before="13" w:line="295" w:lineRule="auto"/>
        <w:ind w:right="243"/>
        <w:rPr>
          <w:rFonts w:ascii="Century" w:eastAsiaTheme="minorEastAsia" w:hAnsi="Century"/>
          <w:lang w:eastAsia="ja-JP"/>
        </w:rPr>
      </w:pPr>
      <w:r>
        <w:rPr>
          <w:rFonts w:ascii="Century" w:eastAsiaTheme="minorEastAsia" w:hAnsi="Century" w:hint="eastAsia"/>
          <w:lang w:eastAsia="ja-JP"/>
        </w:rPr>
        <w:t>2025</w:t>
      </w:r>
      <w:r>
        <w:rPr>
          <w:rFonts w:ascii="Century" w:eastAsiaTheme="minorEastAsia" w:hAnsi="Century" w:hint="eastAsia"/>
          <w:lang w:eastAsia="ja-JP"/>
        </w:rPr>
        <w:t>年に公開された信用状に基づく決済プロセス。</w:t>
      </w:r>
    </w:p>
    <w:p w14:paraId="77CCCBEB" w14:textId="136B0506" w:rsidR="00B26219" w:rsidRDefault="00B26219" w:rsidP="00B26219">
      <w:pPr>
        <w:pStyle w:val="a3"/>
        <w:numPr>
          <w:ilvl w:val="0"/>
          <w:numId w:val="27"/>
        </w:numPr>
        <w:spacing w:before="13" w:line="295" w:lineRule="auto"/>
        <w:ind w:right="243"/>
        <w:rPr>
          <w:rFonts w:ascii="Century" w:eastAsiaTheme="minorEastAsia" w:hAnsi="Century"/>
          <w:lang w:eastAsia="ja-JP"/>
        </w:rPr>
      </w:pPr>
      <w:r>
        <w:rPr>
          <w:rFonts w:ascii="Century" w:eastAsiaTheme="minorEastAsia" w:hAnsi="Century" w:hint="eastAsia"/>
          <w:lang w:eastAsia="ja-JP"/>
        </w:rPr>
        <w:t>貿易金融参照データモデルの紹介（図―３参照）。</w:t>
      </w:r>
    </w:p>
    <w:p w14:paraId="721CAE56" w14:textId="6ED3E48C" w:rsidR="00B26219" w:rsidRDefault="00B26219" w:rsidP="00B26219">
      <w:pPr>
        <w:pStyle w:val="a3"/>
        <w:spacing w:before="13" w:line="295" w:lineRule="auto"/>
        <w:ind w:right="243"/>
        <w:jc w:val="center"/>
        <w:rPr>
          <w:rFonts w:ascii="Century" w:eastAsiaTheme="minorEastAsia" w:hAnsi="Century"/>
          <w:lang w:eastAsia="ja-JP"/>
        </w:rPr>
      </w:pPr>
      <w:r w:rsidRPr="00B26219">
        <w:rPr>
          <w:rFonts w:hint="eastAsia"/>
          <w:noProof/>
        </w:rPr>
        <w:drawing>
          <wp:inline distT="0" distB="0" distL="0" distR="0" wp14:anchorId="028F3A85" wp14:editId="428C5741">
            <wp:extent cx="4711700" cy="2471641"/>
            <wp:effectExtent l="0" t="0" r="0" b="0"/>
            <wp:docPr id="53481617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0826" cy="2476428"/>
                    </a:xfrm>
                    <a:prstGeom prst="rect">
                      <a:avLst/>
                    </a:prstGeom>
                    <a:noFill/>
                    <a:ln>
                      <a:noFill/>
                    </a:ln>
                  </pic:spPr>
                </pic:pic>
              </a:graphicData>
            </a:graphic>
          </wp:inline>
        </w:drawing>
      </w:r>
    </w:p>
    <w:p w14:paraId="5FE6062E" w14:textId="70259A63" w:rsidR="00B26219" w:rsidRDefault="00B26219" w:rsidP="00B26219">
      <w:pPr>
        <w:pStyle w:val="a3"/>
        <w:spacing w:before="13" w:line="295" w:lineRule="auto"/>
        <w:ind w:right="243"/>
        <w:jc w:val="center"/>
        <w:rPr>
          <w:rFonts w:ascii="Century" w:eastAsiaTheme="minorEastAsia" w:hAnsi="Century"/>
          <w:lang w:eastAsia="ja-JP"/>
        </w:rPr>
      </w:pPr>
      <w:r>
        <w:rPr>
          <w:rFonts w:ascii="Century" w:eastAsiaTheme="minorEastAsia" w:hAnsi="Century" w:hint="eastAsia"/>
          <w:lang w:eastAsia="ja-JP"/>
        </w:rPr>
        <w:t>図―３　貿易金融参照データモデル</w:t>
      </w:r>
    </w:p>
    <w:p w14:paraId="7753E5A9" w14:textId="77777777" w:rsidR="005C464A" w:rsidRDefault="005C464A" w:rsidP="00076C56">
      <w:pPr>
        <w:pStyle w:val="a3"/>
        <w:spacing w:before="13" w:line="295" w:lineRule="auto"/>
        <w:ind w:right="243"/>
        <w:rPr>
          <w:rFonts w:ascii="Century" w:eastAsiaTheme="minorEastAsia" w:hAnsi="Century"/>
          <w:lang w:eastAsia="ja-JP"/>
        </w:rPr>
      </w:pPr>
    </w:p>
    <w:p w14:paraId="37F7BDB1" w14:textId="7C853743" w:rsidR="00E43BF7" w:rsidRDefault="00E43BF7" w:rsidP="00076C56">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 xml:space="preserve">　貿易金融参照データモデル</w:t>
      </w:r>
      <w:r w:rsidR="00F11520">
        <w:rPr>
          <w:rFonts w:ascii="Century" w:eastAsiaTheme="minorEastAsia" w:hAnsi="Century" w:hint="eastAsia"/>
          <w:lang w:eastAsia="ja-JP"/>
        </w:rPr>
        <w:t>（</w:t>
      </w:r>
      <w:r w:rsidR="00F11520">
        <w:rPr>
          <w:rFonts w:ascii="Century" w:eastAsiaTheme="minorEastAsia" w:hAnsi="Century" w:hint="eastAsia"/>
          <w:lang w:eastAsia="ja-JP"/>
        </w:rPr>
        <w:t>TFFRDM</w:t>
      </w:r>
      <w:r w:rsidR="00F11520">
        <w:rPr>
          <w:rFonts w:ascii="Century" w:eastAsiaTheme="minorEastAsia" w:hAnsi="Century" w:hint="eastAsia"/>
          <w:lang w:eastAsia="ja-JP"/>
        </w:rPr>
        <w:t>）</w:t>
      </w:r>
      <w:r>
        <w:rPr>
          <w:rFonts w:ascii="Century" w:eastAsiaTheme="minorEastAsia" w:hAnsi="Century" w:hint="eastAsia"/>
          <w:lang w:eastAsia="ja-JP"/>
        </w:rPr>
        <w:t>は</w:t>
      </w:r>
      <w:r w:rsidR="00F11520">
        <w:rPr>
          <w:rFonts w:ascii="Century" w:eastAsiaTheme="minorEastAsia" w:hAnsi="Century" w:hint="eastAsia"/>
          <w:lang w:eastAsia="ja-JP"/>
        </w:rPr>
        <w:t>、図―３からも分かるように金融関連情報項目に売買関連情報であるサプライチェーンマネージメント参照データモデル（</w:t>
      </w:r>
      <w:r w:rsidR="00F11520">
        <w:rPr>
          <w:rFonts w:ascii="Century" w:eastAsiaTheme="minorEastAsia" w:hAnsi="Century" w:hint="eastAsia"/>
          <w:lang w:eastAsia="ja-JP"/>
        </w:rPr>
        <w:t>SCRDM</w:t>
      </w:r>
      <w:r w:rsidR="00F11520">
        <w:rPr>
          <w:rFonts w:ascii="Century" w:eastAsiaTheme="minorEastAsia" w:hAnsi="Century" w:hint="eastAsia"/>
          <w:lang w:eastAsia="ja-JP"/>
        </w:rPr>
        <w:t>）と運輸物流関連情報である複合一貫輸送参照データモデル（</w:t>
      </w:r>
      <w:r w:rsidR="00F11520">
        <w:rPr>
          <w:rFonts w:ascii="Century" w:eastAsiaTheme="minorEastAsia" w:hAnsi="Century" w:hint="eastAsia"/>
          <w:lang w:eastAsia="ja-JP"/>
        </w:rPr>
        <w:t>MMTRDM</w:t>
      </w:r>
      <w:r w:rsidR="00F11520">
        <w:rPr>
          <w:rFonts w:ascii="Century" w:eastAsiaTheme="minorEastAsia" w:hAnsi="Century" w:hint="eastAsia"/>
          <w:lang w:eastAsia="ja-JP"/>
        </w:rPr>
        <w:t>）の情報項目を使用している。そのため、国連</w:t>
      </w:r>
      <w:r w:rsidR="00F11520">
        <w:rPr>
          <w:rFonts w:ascii="Century" w:eastAsiaTheme="minorEastAsia" w:hAnsi="Century" w:hint="eastAsia"/>
          <w:lang w:eastAsia="ja-JP"/>
        </w:rPr>
        <w:t>CEFACT</w:t>
      </w:r>
      <w:r w:rsidR="00F11520">
        <w:rPr>
          <w:rFonts w:ascii="Century" w:eastAsiaTheme="minorEastAsia" w:hAnsi="Century" w:hint="eastAsia"/>
          <w:lang w:eastAsia="ja-JP"/>
        </w:rPr>
        <w:t>の</w:t>
      </w:r>
      <w:r w:rsidR="006903F4">
        <w:rPr>
          <w:rFonts w:ascii="Century" w:eastAsiaTheme="minorEastAsia" w:hAnsi="Century" w:hint="eastAsia"/>
          <w:lang w:eastAsia="ja-JP"/>
        </w:rPr>
        <w:t>参照モデル</w:t>
      </w:r>
      <w:r w:rsidR="00C81460">
        <w:rPr>
          <w:rFonts w:ascii="Century" w:eastAsiaTheme="minorEastAsia" w:hAnsi="Century" w:hint="eastAsia"/>
          <w:lang w:eastAsia="ja-JP"/>
        </w:rPr>
        <w:t>の</w:t>
      </w:r>
      <w:r w:rsidR="00F11520">
        <w:rPr>
          <w:rFonts w:ascii="Century" w:eastAsiaTheme="minorEastAsia" w:hAnsi="Century" w:hint="eastAsia"/>
          <w:lang w:eastAsia="ja-JP"/>
        </w:rPr>
        <w:t>XML</w:t>
      </w:r>
      <w:r w:rsidR="00F11520">
        <w:rPr>
          <w:rFonts w:ascii="Century" w:eastAsiaTheme="minorEastAsia" w:hAnsi="Century" w:hint="eastAsia"/>
          <w:lang w:eastAsia="ja-JP"/>
        </w:rPr>
        <w:t>スキーマモジュールをどのように組み込んで公開すべきかが議論</w:t>
      </w:r>
      <w:r w:rsidR="006903F4">
        <w:rPr>
          <w:rFonts w:ascii="Century" w:eastAsiaTheme="minorEastAsia" w:hAnsi="Century" w:hint="eastAsia"/>
          <w:lang w:eastAsia="ja-JP"/>
        </w:rPr>
        <w:t>になった。当件につき、菅又よりメッセージ構築法（</w:t>
      </w:r>
      <w:r w:rsidR="006903F4">
        <w:rPr>
          <w:rFonts w:ascii="Century" w:eastAsiaTheme="minorEastAsia" w:hAnsi="Century" w:hint="eastAsia"/>
          <w:lang w:eastAsia="ja-JP"/>
        </w:rPr>
        <w:t>CCRDM</w:t>
      </w:r>
      <w:r w:rsidR="006903F4">
        <w:rPr>
          <w:rFonts w:ascii="Century" w:eastAsiaTheme="minorEastAsia" w:hAnsi="Century" w:hint="eastAsia"/>
          <w:lang w:eastAsia="ja-JP"/>
        </w:rPr>
        <w:t>）に則った金融メッセージの定義表を提出し、それを基に貿易金融プロジェクトチームにて検討することとなった。</w:t>
      </w:r>
    </w:p>
    <w:p w14:paraId="22C600D4" w14:textId="77777777" w:rsidR="00E43BF7" w:rsidRPr="00064367" w:rsidRDefault="00E43BF7" w:rsidP="00076C56">
      <w:pPr>
        <w:pStyle w:val="a3"/>
        <w:spacing w:before="13" w:line="295" w:lineRule="auto"/>
        <w:ind w:right="243"/>
        <w:rPr>
          <w:rFonts w:ascii="Century" w:eastAsiaTheme="minorEastAsia" w:hAnsi="Century"/>
          <w:lang w:eastAsia="ja-JP"/>
        </w:rPr>
      </w:pPr>
    </w:p>
    <w:p w14:paraId="142155B6" w14:textId="29D48EEE" w:rsidR="00076C56" w:rsidRDefault="00076C56" w:rsidP="00076C56">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 xml:space="preserve">２．３　</w:t>
      </w:r>
      <w:r w:rsidRPr="00076C56">
        <w:rPr>
          <w:rFonts w:ascii="Century" w:eastAsiaTheme="minorEastAsia" w:hAnsi="Century" w:hint="eastAsia"/>
          <w:lang w:eastAsia="ja-JP"/>
        </w:rPr>
        <w:t>金融通信メッセージ国際標準規格</w:t>
      </w:r>
      <w:r>
        <w:rPr>
          <w:rFonts w:ascii="Century" w:eastAsiaTheme="minorEastAsia" w:hAnsi="Century" w:hint="eastAsia"/>
          <w:lang w:eastAsia="ja-JP"/>
        </w:rPr>
        <w:t>（</w:t>
      </w:r>
      <w:r>
        <w:rPr>
          <w:rFonts w:ascii="Century" w:eastAsiaTheme="minorEastAsia" w:hAnsi="Century" w:hint="eastAsia"/>
          <w:lang w:eastAsia="ja-JP"/>
        </w:rPr>
        <w:t>ISO20022</w:t>
      </w:r>
      <w:r>
        <w:rPr>
          <w:rFonts w:ascii="Century" w:eastAsiaTheme="minorEastAsia" w:hAnsi="Century" w:hint="eastAsia"/>
          <w:lang w:eastAsia="ja-JP"/>
        </w:rPr>
        <w:t>）</w:t>
      </w:r>
    </w:p>
    <w:p w14:paraId="45AC01F3" w14:textId="360B6478" w:rsidR="00D56FA1" w:rsidRDefault="001B5037" w:rsidP="00B56A34">
      <w:pPr>
        <w:pStyle w:val="a3"/>
        <w:spacing w:before="13" w:line="295" w:lineRule="auto"/>
        <w:ind w:right="243" w:firstLineChars="100" w:firstLine="210"/>
        <w:rPr>
          <w:rFonts w:ascii="Century" w:eastAsiaTheme="minorEastAsia" w:hAnsi="Century"/>
          <w:lang w:eastAsia="ja-JP"/>
        </w:rPr>
      </w:pPr>
      <w:r>
        <w:rPr>
          <w:rFonts w:ascii="Century" w:eastAsiaTheme="minorEastAsia" w:hAnsi="Century" w:hint="eastAsia"/>
          <w:lang w:eastAsia="ja-JP"/>
        </w:rPr>
        <w:t>金融関係の国際標準</w:t>
      </w:r>
      <w:r>
        <w:rPr>
          <w:rFonts w:ascii="Century" w:eastAsiaTheme="minorEastAsia" w:hAnsi="Century" w:hint="eastAsia"/>
          <w:lang w:eastAsia="ja-JP"/>
        </w:rPr>
        <w:t xml:space="preserve"> </w:t>
      </w:r>
      <w:r w:rsidRPr="001B5037">
        <w:rPr>
          <w:rFonts w:ascii="Century" w:eastAsiaTheme="minorEastAsia" w:hAnsi="Century"/>
          <w:lang w:eastAsia="ja-JP"/>
        </w:rPr>
        <w:t>ISO 20022</w:t>
      </w:r>
      <w:r w:rsidRPr="001B5037">
        <w:rPr>
          <w:rFonts w:ascii="Century" w:eastAsiaTheme="minorEastAsia" w:hAnsi="Century" w:hint="eastAsia"/>
          <w:lang w:eastAsia="ja-JP"/>
        </w:rPr>
        <w:t>が国連</w:t>
      </w:r>
      <w:r w:rsidRPr="001B5037">
        <w:rPr>
          <w:rFonts w:ascii="Century" w:eastAsiaTheme="minorEastAsia" w:hAnsi="Century"/>
          <w:lang w:eastAsia="ja-JP"/>
        </w:rPr>
        <w:t>CEFACT</w:t>
      </w:r>
      <w:r w:rsidRPr="001B5037">
        <w:rPr>
          <w:rFonts w:ascii="Century" w:eastAsiaTheme="minorEastAsia" w:hAnsi="Century" w:hint="eastAsia"/>
          <w:lang w:eastAsia="ja-JP"/>
        </w:rPr>
        <w:t>規格に与える影響について</w:t>
      </w:r>
      <w:r w:rsidR="00B56A34">
        <w:rPr>
          <w:rFonts w:ascii="Century" w:eastAsiaTheme="minorEastAsia" w:hAnsi="Century" w:hint="eastAsia"/>
          <w:lang w:eastAsia="ja-JP"/>
        </w:rPr>
        <w:t>発表が行われた</w:t>
      </w:r>
      <w:r w:rsidRPr="001B5037">
        <w:rPr>
          <w:rFonts w:ascii="Century" w:eastAsiaTheme="minorEastAsia" w:hAnsi="Century" w:hint="eastAsia"/>
          <w:lang w:eastAsia="ja-JP"/>
        </w:rPr>
        <w:t>。</w:t>
      </w:r>
      <w:r w:rsidRPr="001B5037">
        <w:rPr>
          <w:rFonts w:ascii="Century" w:eastAsiaTheme="minorEastAsia" w:hAnsi="Century"/>
          <w:lang w:eastAsia="ja-JP"/>
        </w:rPr>
        <w:t>ISO 20022</w:t>
      </w:r>
      <w:r w:rsidRPr="001B5037">
        <w:rPr>
          <w:rFonts w:ascii="Century" w:eastAsiaTheme="minorEastAsia" w:hAnsi="Century" w:hint="eastAsia"/>
          <w:lang w:eastAsia="ja-JP"/>
        </w:rPr>
        <w:t>は、決済および金融データメッセージ内で交換されるデータの質と量を向上させる。主要通貨すべてをカバーする決済システムが</w:t>
      </w:r>
      <w:r w:rsidRPr="001B5037">
        <w:rPr>
          <w:rFonts w:ascii="Century" w:eastAsiaTheme="minorEastAsia" w:hAnsi="Century"/>
          <w:lang w:eastAsia="ja-JP"/>
        </w:rPr>
        <w:t>ISO 20022</w:t>
      </w:r>
      <w:r w:rsidRPr="001B5037">
        <w:rPr>
          <w:rFonts w:ascii="Century" w:eastAsiaTheme="minorEastAsia" w:hAnsi="Century" w:hint="eastAsia"/>
          <w:lang w:eastAsia="ja-JP"/>
        </w:rPr>
        <w:t>を採用し、すべての決済が</w:t>
      </w:r>
      <w:r w:rsidRPr="001B5037">
        <w:rPr>
          <w:rFonts w:ascii="Century" w:eastAsiaTheme="minorEastAsia" w:hAnsi="Century"/>
          <w:lang w:eastAsia="ja-JP"/>
        </w:rPr>
        <w:t>SWIFT</w:t>
      </w:r>
      <w:r w:rsidR="00B56A34">
        <w:rPr>
          <w:rFonts w:ascii="Century" w:eastAsiaTheme="minorEastAsia" w:hAnsi="Century" w:hint="eastAsia"/>
          <w:lang w:eastAsia="ja-JP"/>
        </w:rPr>
        <w:t>標準</w:t>
      </w:r>
      <w:r w:rsidRPr="001B5037">
        <w:rPr>
          <w:rFonts w:ascii="Century" w:eastAsiaTheme="minorEastAsia" w:hAnsi="Century" w:hint="eastAsia"/>
          <w:lang w:eastAsia="ja-JP"/>
        </w:rPr>
        <w:t>から</w:t>
      </w:r>
      <w:r w:rsidRPr="001B5037">
        <w:rPr>
          <w:rFonts w:ascii="Century" w:eastAsiaTheme="minorEastAsia" w:hAnsi="Century"/>
          <w:lang w:eastAsia="ja-JP"/>
        </w:rPr>
        <w:t>ISO 20022</w:t>
      </w:r>
      <w:r w:rsidRPr="001B5037">
        <w:rPr>
          <w:rFonts w:ascii="Century" w:eastAsiaTheme="minorEastAsia" w:hAnsi="Century" w:hint="eastAsia"/>
          <w:lang w:eastAsia="ja-JP"/>
        </w:rPr>
        <w:t>に移行すること</w:t>
      </w:r>
      <w:r w:rsidR="00B56A34">
        <w:rPr>
          <w:rFonts w:ascii="Century" w:eastAsiaTheme="minorEastAsia" w:hAnsi="Century" w:hint="eastAsia"/>
          <w:lang w:eastAsia="ja-JP"/>
        </w:rPr>
        <w:t>により、</w:t>
      </w:r>
      <w:r w:rsidRPr="001B5037">
        <w:rPr>
          <w:rFonts w:ascii="Century" w:eastAsiaTheme="minorEastAsia" w:hAnsi="Century" w:hint="eastAsia"/>
          <w:lang w:eastAsia="ja-JP"/>
        </w:rPr>
        <w:t>決済データの品質、金融データの自動化、エンドツーエンドの</w:t>
      </w:r>
      <w:r w:rsidRPr="001B5037">
        <w:rPr>
          <w:rFonts w:ascii="Century" w:eastAsiaTheme="minorEastAsia" w:hAnsi="Century"/>
          <w:lang w:eastAsia="ja-JP"/>
        </w:rPr>
        <w:t>STL</w:t>
      </w:r>
      <w:r w:rsidRPr="001B5037">
        <w:rPr>
          <w:rFonts w:ascii="Century" w:eastAsiaTheme="minorEastAsia" w:hAnsi="Century" w:hint="eastAsia"/>
          <w:lang w:eastAsia="ja-JP"/>
        </w:rPr>
        <w:t>（ストレート・スルー・トランザクション）処理、そして財務報告および規制報告の改善につながることが期待されてい</w:t>
      </w:r>
      <w:r w:rsidR="00B56A34">
        <w:rPr>
          <w:rFonts w:ascii="Century" w:eastAsiaTheme="minorEastAsia" w:hAnsi="Century" w:hint="eastAsia"/>
          <w:lang w:eastAsia="ja-JP"/>
        </w:rPr>
        <w:t>る</w:t>
      </w:r>
      <w:r w:rsidRPr="001B5037">
        <w:rPr>
          <w:rFonts w:ascii="Century" w:eastAsiaTheme="minorEastAsia" w:hAnsi="Century" w:hint="eastAsia"/>
          <w:lang w:eastAsia="ja-JP"/>
        </w:rPr>
        <w:t>。</w:t>
      </w:r>
    </w:p>
    <w:p w14:paraId="1BFC1FD5" w14:textId="77777777" w:rsidR="00576371" w:rsidRDefault="00B56A34" w:rsidP="00576371">
      <w:pPr>
        <w:pStyle w:val="a3"/>
        <w:numPr>
          <w:ilvl w:val="0"/>
          <w:numId w:val="28"/>
        </w:numPr>
        <w:spacing w:before="13" w:line="295" w:lineRule="auto"/>
        <w:ind w:right="243"/>
        <w:rPr>
          <w:rFonts w:ascii="Century" w:eastAsiaTheme="minorEastAsia" w:hAnsi="Century"/>
          <w:lang w:eastAsia="ja-JP"/>
        </w:rPr>
      </w:pPr>
      <w:r>
        <w:rPr>
          <w:rFonts w:ascii="Century" w:eastAsiaTheme="minorEastAsia" w:hAnsi="Century" w:hint="eastAsia"/>
          <w:lang w:eastAsia="ja-JP"/>
        </w:rPr>
        <w:t>ISO20022</w:t>
      </w:r>
      <w:r>
        <w:rPr>
          <w:rFonts w:ascii="Century" w:eastAsiaTheme="minorEastAsia" w:hAnsi="Century" w:hint="eastAsia"/>
          <w:lang w:eastAsia="ja-JP"/>
        </w:rPr>
        <w:t>の採用により、</w:t>
      </w:r>
    </w:p>
    <w:p w14:paraId="78EE8472" w14:textId="289FF80F" w:rsidR="00B56A34" w:rsidRDefault="00B56A34" w:rsidP="00576371">
      <w:pPr>
        <w:pStyle w:val="a3"/>
        <w:numPr>
          <w:ilvl w:val="0"/>
          <w:numId w:val="29"/>
        </w:numPr>
        <w:spacing w:before="13" w:line="295" w:lineRule="auto"/>
        <w:ind w:right="243"/>
        <w:rPr>
          <w:rFonts w:ascii="Century" w:eastAsiaTheme="minorEastAsia" w:hAnsi="Century"/>
          <w:lang w:eastAsia="ja-JP"/>
        </w:rPr>
      </w:pPr>
      <w:r>
        <w:rPr>
          <w:rFonts w:ascii="Century" w:eastAsiaTheme="minorEastAsia" w:hAnsi="Century" w:hint="eastAsia"/>
          <w:lang w:eastAsia="ja-JP"/>
        </w:rPr>
        <w:t>商流関連では信頼性のある電子インボイスの発行／参照が可能になり、</w:t>
      </w:r>
      <w:r w:rsidR="00576371">
        <w:rPr>
          <w:rFonts w:ascii="Century" w:eastAsiaTheme="minorEastAsia" w:hAnsi="Century" w:hint="eastAsia"/>
          <w:lang w:eastAsia="ja-JP"/>
        </w:rPr>
        <w:t>信頼に裏付けられた</w:t>
      </w:r>
      <w:r>
        <w:rPr>
          <w:rFonts w:ascii="Century" w:eastAsiaTheme="minorEastAsia" w:hAnsi="Century" w:hint="eastAsia"/>
          <w:lang w:eastAsia="ja-JP"/>
        </w:rPr>
        <w:t>インボイスファイナンス</w:t>
      </w:r>
      <w:r w:rsidR="00576371">
        <w:rPr>
          <w:rFonts w:ascii="Century" w:eastAsiaTheme="minorEastAsia" w:hAnsi="Century" w:hint="eastAsia"/>
          <w:lang w:eastAsia="ja-JP"/>
        </w:rPr>
        <w:t>が可能になる。</w:t>
      </w:r>
    </w:p>
    <w:p w14:paraId="0734509C" w14:textId="574778D7" w:rsidR="00576371" w:rsidRDefault="00576371" w:rsidP="00576371">
      <w:pPr>
        <w:pStyle w:val="a3"/>
        <w:numPr>
          <w:ilvl w:val="0"/>
          <w:numId w:val="29"/>
        </w:numPr>
        <w:spacing w:before="13" w:line="295" w:lineRule="auto"/>
        <w:ind w:right="243"/>
        <w:rPr>
          <w:rFonts w:ascii="Century" w:eastAsiaTheme="minorEastAsia" w:hAnsi="Century"/>
          <w:lang w:eastAsia="ja-JP"/>
        </w:rPr>
      </w:pPr>
      <w:r>
        <w:rPr>
          <w:rFonts w:ascii="Century" w:eastAsiaTheme="minorEastAsia" w:hAnsi="Century" w:hint="eastAsia"/>
          <w:lang w:eastAsia="ja-JP"/>
        </w:rPr>
        <w:t>信用状や為替手形、約束手形プロセスのデジタル化が可能になる。</w:t>
      </w:r>
    </w:p>
    <w:p w14:paraId="7CAC0784" w14:textId="166772DB" w:rsidR="00576371" w:rsidRPr="00576371" w:rsidRDefault="00576371" w:rsidP="00576371">
      <w:pPr>
        <w:pStyle w:val="a3"/>
        <w:numPr>
          <w:ilvl w:val="0"/>
          <w:numId w:val="29"/>
        </w:numPr>
        <w:spacing w:before="13" w:line="295" w:lineRule="auto"/>
        <w:ind w:right="243"/>
        <w:rPr>
          <w:rFonts w:ascii="Century" w:eastAsiaTheme="minorEastAsia" w:hAnsi="Century"/>
          <w:lang w:eastAsia="ja-JP"/>
        </w:rPr>
      </w:pPr>
      <w:r>
        <w:rPr>
          <w:rFonts w:ascii="Century" w:eastAsiaTheme="minorEastAsia" w:hAnsi="Century" w:hint="eastAsia"/>
          <w:lang w:eastAsia="ja-JP"/>
        </w:rPr>
        <w:t>会計システムや税務システムとの連動が容易になる。</w:t>
      </w:r>
    </w:p>
    <w:p w14:paraId="74C57EEF" w14:textId="13620D58" w:rsidR="00576371" w:rsidRDefault="00576371" w:rsidP="008673B0">
      <w:pPr>
        <w:pStyle w:val="a3"/>
        <w:numPr>
          <w:ilvl w:val="0"/>
          <w:numId w:val="30"/>
        </w:numPr>
        <w:spacing w:before="13" w:line="295" w:lineRule="auto"/>
        <w:ind w:right="243"/>
        <w:rPr>
          <w:rFonts w:ascii="Century" w:eastAsiaTheme="minorEastAsia" w:hAnsi="Century"/>
          <w:lang w:eastAsia="ja-JP"/>
        </w:rPr>
      </w:pPr>
      <w:r>
        <w:rPr>
          <w:rFonts w:ascii="Century" w:eastAsiaTheme="minorEastAsia" w:hAnsi="Century" w:hint="eastAsia"/>
          <w:lang w:eastAsia="ja-JP"/>
        </w:rPr>
        <w:t>ただし、</w:t>
      </w:r>
      <w:r>
        <w:rPr>
          <w:rFonts w:ascii="Century" w:eastAsiaTheme="minorEastAsia" w:hAnsi="Century" w:hint="eastAsia"/>
          <w:lang w:eastAsia="ja-JP"/>
        </w:rPr>
        <w:t>ISO20022</w:t>
      </w:r>
      <w:r>
        <w:rPr>
          <w:rFonts w:ascii="Century" w:eastAsiaTheme="minorEastAsia" w:hAnsi="Century" w:hint="eastAsia"/>
          <w:lang w:eastAsia="ja-JP"/>
        </w:rPr>
        <w:t>の採用は、世界中の決済システムへの影響が大きく、現行決済システムからの移行は容易なことではない。（菅又：</w:t>
      </w:r>
      <w:r w:rsidR="008673B0">
        <w:rPr>
          <w:rFonts w:ascii="Century" w:eastAsiaTheme="minorEastAsia" w:hAnsi="Century" w:hint="eastAsia"/>
          <w:lang w:eastAsia="ja-JP"/>
        </w:rPr>
        <w:t>私見）</w:t>
      </w:r>
    </w:p>
    <w:p w14:paraId="4680BD91" w14:textId="77777777" w:rsidR="00576371" w:rsidRPr="006903F4" w:rsidRDefault="00576371" w:rsidP="00461DE6">
      <w:pPr>
        <w:pStyle w:val="a3"/>
        <w:spacing w:before="13" w:line="295" w:lineRule="auto"/>
        <w:ind w:right="243"/>
        <w:rPr>
          <w:rFonts w:ascii="Century" w:eastAsiaTheme="minorEastAsia" w:hAnsi="Century"/>
          <w:lang w:eastAsia="ja-JP"/>
        </w:rPr>
      </w:pPr>
    </w:p>
    <w:p w14:paraId="337E2003" w14:textId="75794F44" w:rsidR="00076C56" w:rsidRDefault="00076C56" w:rsidP="00076C56">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３．運輸・物流</w:t>
      </w:r>
    </w:p>
    <w:p w14:paraId="56EB6031" w14:textId="77777777" w:rsidR="00076C56" w:rsidRDefault="00076C56" w:rsidP="00076C56">
      <w:pPr>
        <w:pStyle w:val="a3"/>
        <w:spacing w:before="13" w:line="295" w:lineRule="auto"/>
        <w:ind w:right="243"/>
        <w:rPr>
          <w:rFonts w:ascii="Century" w:eastAsiaTheme="minorEastAsia" w:hAnsi="Century"/>
          <w:lang w:eastAsia="ja-JP"/>
        </w:rPr>
      </w:pPr>
    </w:p>
    <w:p w14:paraId="089EECC8" w14:textId="625AF810" w:rsidR="00076C56" w:rsidRDefault="00076C56" w:rsidP="00076C56">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３．１　運輸・物流関連プロジェクト状況</w:t>
      </w:r>
    </w:p>
    <w:p w14:paraId="1846D189" w14:textId="76E63873" w:rsidR="00076C56" w:rsidRDefault="00F17DB3" w:rsidP="00F17DB3">
      <w:pPr>
        <w:pStyle w:val="a3"/>
        <w:spacing w:before="13" w:line="295" w:lineRule="auto"/>
        <w:ind w:right="243" w:firstLineChars="100" w:firstLine="210"/>
        <w:rPr>
          <w:rFonts w:ascii="Century" w:eastAsiaTheme="minorEastAsia" w:hAnsi="Century"/>
          <w:lang w:eastAsia="ja-JP"/>
        </w:rPr>
      </w:pPr>
      <w:r>
        <w:rPr>
          <w:rFonts w:ascii="Century" w:eastAsiaTheme="minorEastAsia" w:hAnsi="Century" w:hint="eastAsia"/>
          <w:lang w:eastAsia="ja-JP"/>
        </w:rPr>
        <w:t>国連</w:t>
      </w:r>
      <w:r w:rsidRPr="00F17DB3">
        <w:rPr>
          <w:rFonts w:ascii="Century" w:eastAsiaTheme="minorEastAsia" w:hAnsi="Century"/>
          <w:lang w:eastAsia="ja-JP"/>
        </w:rPr>
        <w:t>CEFACT</w:t>
      </w:r>
      <w:r>
        <w:rPr>
          <w:rFonts w:ascii="Century" w:eastAsiaTheme="minorEastAsia" w:hAnsi="Century" w:hint="eastAsia"/>
          <w:lang w:eastAsia="ja-JP"/>
        </w:rPr>
        <w:t>の</w:t>
      </w:r>
      <w:r w:rsidRPr="00F17DB3">
        <w:rPr>
          <w:rFonts w:ascii="Century" w:eastAsiaTheme="minorEastAsia" w:hAnsi="Century"/>
          <w:lang w:eastAsia="ja-JP"/>
        </w:rPr>
        <w:t xml:space="preserve"> </w:t>
      </w:r>
      <w:r w:rsidRPr="00F17DB3">
        <w:rPr>
          <w:rFonts w:ascii="Century" w:eastAsiaTheme="minorEastAsia" w:hAnsi="Century" w:hint="eastAsia"/>
          <w:lang w:eastAsia="ja-JP"/>
        </w:rPr>
        <w:t>運輸・物流ドメインは、複合輸送およびサプライ</w:t>
      </w:r>
      <w:r w:rsidRPr="00F17DB3">
        <w:rPr>
          <w:rFonts w:ascii="Century" w:eastAsiaTheme="minorEastAsia" w:hAnsi="Century"/>
          <w:lang w:eastAsia="ja-JP"/>
        </w:rPr>
        <w:t xml:space="preserve"> </w:t>
      </w:r>
      <w:r w:rsidRPr="00F17DB3">
        <w:rPr>
          <w:rFonts w:ascii="Century" w:eastAsiaTheme="minorEastAsia" w:hAnsi="Century" w:hint="eastAsia"/>
          <w:lang w:eastAsia="ja-JP"/>
        </w:rPr>
        <w:t>チェーン全体のデータ交換をデジタル化し、調和させ、効率、透明性、相互運用性を高めるための世界標準を策定し</w:t>
      </w:r>
      <w:r>
        <w:rPr>
          <w:rFonts w:ascii="Century" w:eastAsiaTheme="minorEastAsia" w:hAnsi="Century" w:hint="eastAsia"/>
          <w:lang w:eastAsia="ja-JP"/>
        </w:rPr>
        <w:t>ている。</w:t>
      </w:r>
    </w:p>
    <w:p w14:paraId="0B631D6F" w14:textId="7AAA6673" w:rsidR="00F17DB3" w:rsidRDefault="00F17DB3" w:rsidP="00F17DB3">
      <w:pPr>
        <w:pStyle w:val="a3"/>
        <w:spacing w:before="13" w:line="295" w:lineRule="auto"/>
        <w:ind w:right="243" w:firstLineChars="100" w:firstLine="210"/>
        <w:rPr>
          <w:rFonts w:ascii="Century" w:eastAsiaTheme="minorEastAsia" w:hAnsi="Century"/>
          <w:lang w:eastAsia="ja-JP"/>
        </w:rPr>
      </w:pPr>
      <w:r>
        <w:rPr>
          <w:rFonts w:ascii="Century" w:eastAsiaTheme="minorEastAsia" w:hAnsi="Century" w:hint="eastAsia"/>
          <w:lang w:eastAsia="ja-JP"/>
        </w:rPr>
        <w:t>当セッションでは以下のプロジェクトの開発状況につき説明が行われた。</w:t>
      </w:r>
    </w:p>
    <w:p w14:paraId="61015860" w14:textId="2567D61F" w:rsidR="00181F94" w:rsidRDefault="00181F94" w:rsidP="001F2656">
      <w:pPr>
        <w:pStyle w:val="a3"/>
        <w:numPr>
          <w:ilvl w:val="0"/>
          <w:numId w:val="30"/>
        </w:numPr>
        <w:spacing w:before="13" w:line="295" w:lineRule="auto"/>
        <w:ind w:right="243"/>
        <w:rPr>
          <w:rFonts w:ascii="Century" w:eastAsiaTheme="minorEastAsia" w:hAnsi="Century"/>
          <w:lang w:eastAsia="ja-JP"/>
        </w:rPr>
      </w:pPr>
      <w:r>
        <w:rPr>
          <w:rFonts w:ascii="Century" w:eastAsiaTheme="minorEastAsia" w:hAnsi="Century" w:hint="eastAsia"/>
          <w:lang w:eastAsia="ja-JP"/>
        </w:rPr>
        <w:t>重要原材料（</w:t>
      </w:r>
      <w:r>
        <w:rPr>
          <w:rFonts w:ascii="Century" w:eastAsiaTheme="minorEastAsia" w:hAnsi="Century" w:hint="eastAsia"/>
          <w:lang w:eastAsia="ja-JP"/>
        </w:rPr>
        <w:t>CMR</w:t>
      </w:r>
      <w:r>
        <w:rPr>
          <w:rFonts w:ascii="Century" w:eastAsiaTheme="minorEastAsia" w:hAnsi="Century" w:hint="eastAsia"/>
          <w:lang w:eastAsia="ja-JP"/>
        </w:rPr>
        <w:t>）の管理</w:t>
      </w:r>
      <w:r w:rsidR="00CD78BD">
        <w:rPr>
          <w:rFonts w:ascii="Century" w:eastAsiaTheme="minorEastAsia" w:hAnsi="Century" w:hint="eastAsia"/>
          <w:lang w:eastAsia="ja-JP"/>
        </w:rPr>
        <w:t>プロジェクト</w:t>
      </w:r>
    </w:p>
    <w:p w14:paraId="265629E6" w14:textId="01017D4E" w:rsidR="00F17DB3" w:rsidRDefault="00181F94" w:rsidP="00F17DB3">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新プロジェクトとして発足。</w:t>
      </w:r>
    </w:p>
    <w:p w14:paraId="030A8019" w14:textId="403F4F5E" w:rsidR="00181F94" w:rsidRDefault="00181F94" w:rsidP="001F2656">
      <w:pPr>
        <w:pStyle w:val="a3"/>
        <w:numPr>
          <w:ilvl w:val="0"/>
          <w:numId w:val="31"/>
        </w:numPr>
        <w:spacing w:before="13" w:line="295" w:lineRule="auto"/>
        <w:ind w:right="243"/>
        <w:rPr>
          <w:rFonts w:ascii="Century" w:eastAsiaTheme="minorEastAsia" w:hAnsi="Century"/>
          <w:lang w:eastAsia="ja-JP"/>
        </w:rPr>
      </w:pPr>
      <w:r>
        <w:rPr>
          <w:rFonts w:ascii="Century" w:eastAsiaTheme="minorEastAsia" w:hAnsi="Century" w:hint="eastAsia"/>
          <w:lang w:eastAsia="ja-JP"/>
        </w:rPr>
        <w:t>複合一貫輸送</w:t>
      </w:r>
      <w:r w:rsidRPr="00181F94">
        <w:rPr>
          <w:rFonts w:ascii="Century" w:eastAsiaTheme="minorEastAsia" w:hAnsi="Century" w:hint="eastAsia"/>
          <w:lang w:eastAsia="ja-JP"/>
        </w:rPr>
        <w:t>における可視性</w:t>
      </w:r>
      <w:r w:rsidR="00CD78BD">
        <w:rPr>
          <w:rFonts w:ascii="Century" w:eastAsiaTheme="minorEastAsia" w:hAnsi="Century" w:hint="eastAsia"/>
          <w:lang w:eastAsia="ja-JP"/>
        </w:rPr>
        <w:t>プロジェクト</w:t>
      </w:r>
    </w:p>
    <w:p w14:paraId="4A860665" w14:textId="37D99142" w:rsidR="00181F94" w:rsidRDefault="00181F94" w:rsidP="00F17DB3">
      <w:pPr>
        <w:pStyle w:val="a3"/>
        <w:spacing w:before="13" w:line="295" w:lineRule="auto"/>
        <w:ind w:right="243"/>
        <w:rPr>
          <w:rFonts w:ascii="Century" w:eastAsiaTheme="minorEastAsia" w:hAnsi="Century"/>
          <w:lang w:eastAsia="ja-JP"/>
        </w:rPr>
      </w:pPr>
      <w:r w:rsidRPr="00181F94">
        <w:rPr>
          <w:rFonts w:ascii="Century" w:eastAsiaTheme="minorEastAsia" w:hAnsi="Century" w:hint="eastAsia"/>
          <w:lang w:eastAsia="ja-JP"/>
        </w:rPr>
        <w:t>国際港湾協会（</w:t>
      </w:r>
      <w:r w:rsidRPr="00181F94">
        <w:rPr>
          <w:rFonts w:ascii="Century" w:eastAsiaTheme="minorEastAsia" w:hAnsi="Century"/>
          <w:lang w:eastAsia="ja-JP"/>
        </w:rPr>
        <w:t>IAPH</w:t>
      </w:r>
      <w:r w:rsidRPr="00181F94">
        <w:rPr>
          <w:rFonts w:ascii="Century" w:eastAsiaTheme="minorEastAsia" w:hAnsi="Century" w:hint="eastAsia"/>
          <w:lang w:eastAsia="ja-JP"/>
        </w:rPr>
        <w:t>）</w:t>
      </w:r>
      <w:r>
        <w:rPr>
          <w:rFonts w:ascii="Century" w:eastAsiaTheme="minorEastAsia" w:hAnsi="Century" w:hint="eastAsia"/>
          <w:lang w:eastAsia="ja-JP"/>
        </w:rPr>
        <w:t>と</w:t>
      </w:r>
      <w:r w:rsidRPr="00181F94">
        <w:rPr>
          <w:rFonts w:ascii="Century" w:eastAsiaTheme="minorEastAsia" w:hAnsi="Century" w:hint="eastAsia"/>
          <w:lang w:eastAsia="ja-JP"/>
        </w:rPr>
        <w:t>ロッテルダム港</w:t>
      </w:r>
      <w:r>
        <w:rPr>
          <w:rFonts w:ascii="Century" w:eastAsiaTheme="minorEastAsia" w:hAnsi="Century" w:hint="eastAsia"/>
          <w:lang w:eastAsia="ja-JP"/>
        </w:rPr>
        <w:t>の共同計画。</w:t>
      </w:r>
    </w:p>
    <w:p w14:paraId="3B079D81" w14:textId="6682DFE9" w:rsidR="00181F94" w:rsidRDefault="00181F94" w:rsidP="001F2656">
      <w:pPr>
        <w:pStyle w:val="a3"/>
        <w:numPr>
          <w:ilvl w:val="0"/>
          <w:numId w:val="32"/>
        </w:numPr>
        <w:spacing w:before="13" w:line="295" w:lineRule="auto"/>
        <w:ind w:right="243"/>
        <w:rPr>
          <w:rFonts w:ascii="Century" w:eastAsiaTheme="minorEastAsia" w:hAnsi="Century"/>
          <w:lang w:eastAsia="ja-JP"/>
        </w:rPr>
      </w:pPr>
      <w:r w:rsidRPr="00181F94">
        <w:rPr>
          <w:rFonts w:ascii="Century" w:eastAsiaTheme="minorEastAsia" w:hAnsi="Century" w:hint="eastAsia"/>
          <w:lang w:eastAsia="ja-JP"/>
        </w:rPr>
        <w:t>シームレスな積み替え</w:t>
      </w:r>
      <w:r w:rsidR="00CD78BD">
        <w:rPr>
          <w:rFonts w:ascii="Century" w:eastAsiaTheme="minorEastAsia" w:hAnsi="Century" w:hint="eastAsia"/>
          <w:lang w:eastAsia="ja-JP"/>
        </w:rPr>
        <w:t>プロジェクト</w:t>
      </w:r>
    </w:p>
    <w:p w14:paraId="77BC2F5E" w14:textId="57EEF8BE" w:rsidR="00181F94" w:rsidRDefault="00CD78BD" w:rsidP="00F17DB3">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船舶メッセージ設計グループ（</w:t>
      </w:r>
      <w:r w:rsidR="00181F94" w:rsidRPr="00181F94">
        <w:rPr>
          <w:rFonts w:ascii="Century" w:eastAsiaTheme="minorEastAsia" w:hAnsi="Century"/>
          <w:lang w:eastAsia="ja-JP"/>
        </w:rPr>
        <w:t>SMDG</w:t>
      </w:r>
      <w:r>
        <w:rPr>
          <w:rFonts w:ascii="Century" w:eastAsiaTheme="minorEastAsia" w:hAnsi="Century" w:hint="eastAsia"/>
          <w:lang w:eastAsia="ja-JP"/>
        </w:rPr>
        <w:t>）</w:t>
      </w:r>
      <w:r w:rsidR="00181F94">
        <w:rPr>
          <w:rFonts w:ascii="Century" w:eastAsiaTheme="minorEastAsia" w:hAnsi="Century" w:hint="eastAsia"/>
          <w:lang w:eastAsia="ja-JP"/>
        </w:rPr>
        <w:t>と国連</w:t>
      </w:r>
      <w:r w:rsidR="00181F94" w:rsidRPr="00181F94">
        <w:rPr>
          <w:rFonts w:ascii="Century" w:eastAsiaTheme="minorEastAsia" w:hAnsi="Century"/>
          <w:lang w:eastAsia="ja-JP"/>
        </w:rPr>
        <w:t>CEFACT</w:t>
      </w:r>
      <w:r>
        <w:rPr>
          <w:rFonts w:ascii="Century" w:eastAsiaTheme="minorEastAsia" w:hAnsi="Century" w:hint="eastAsia"/>
          <w:lang w:eastAsia="ja-JP"/>
        </w:rPr>
        <w:t>の</w:t>
      </w:r>
      <w:r w:rsidR="00181F94" w:rsidRPr="00181F94">
        <w:rPr>
          <w:rFonts w:ascii="Century" w:eastAsiaTheme="minorEastAsia" w:hAnsi="Century" w:hint="eastAsia"/>
          <w:lang w:eastAsia="ja-JP"/>
        </w:rPr>
        <w:t>語彙</w:t>
      </w:r>
      <w:r>
        <w:rPr>
          <w:rFonts w:ascii="Century" w:eastAsiaTheme="minorEastAsia" w:hAnsi="Century" w:hint="eastAsia"/>
          <w:lang w:eastAsia="ja-JP"/>
        </w:rPr>
        <w:t>の整合による</w:t>
      </w:r>
      <w:r w:rsidRPr="00181F94">
        <w:rPr>
          <w:rFonts w:ascii="Century" w:eastAsiaTheme="minorEastAsia" w:hAnsi="Century" w:hint="eastAsia"/>
          <w:lang w:eastAsia="ja-JP"/>
        </w:rPr>
        <w:t>運輸業界全体の統合強化</w:t>
      </w:r>
      <w:r>
        <w:rPr>
          <w:rFonts w:ascii="Century" w:eastAsiaTheme="minorEastAsia" w:hAnsi="Century" w:hint="eastAsia"/>
          <w:lang w:eastAsia="ja-JP"/>
        </w:rPr>
        <w:t>。</w:t>
      </w:r>
    </w:p>
    <w:p w14:paraId="1BB94A97" w14:textId="5B20AB0C" w:rsidR="00CD78BD" w:rsidRDefault="00CD78BD" w:rsidP="001F2656">
      <w:pPr>
        <w:pStyle w:val="a3"/>
        <w:numPr>
          <w:ilvl w:val="0"/>
          <w:numId w:val="33"/>
        </w:numPr>
        <w:spacing w:before="13" w:line="295" w:lineRule="auto"/>
        <w:ind w:right="243"/>
        <w:rPr>
          <w:rFonts w:ascii="Century" w:eastAsiaTheme="minorEastAsia" w:hAnsi="Century"/>
          <w:lang w:eastAsia="ja-JP"/>
        </w:rPr>
      </w:pPr>
      <w:r>
        <w:rPr>
          <w:rFonts w:ascii="Century" w:eastAsiaTheme="minorEastAsia" w:hAnsi="Century" w:hint="eastAsia"/>
          <w:lang w:eastAsia="ja-JP"/>
        </w:rPr>
        <w:t>貿易金融プロジェクト</w:t>
      </w:r>
    </w:p>
    <w:p w14:paraId="4A95034E" w14:textId="6F551B8B" w:rsidR="00246611" w:rsidRDefault="00246611" w:rsidP="00246611">
      <w:pPr>
        <w:pStyle w:val="a3"/>
        <w:spacing w:before="13" w:line="295" w:lineRule="auto"/>
        <w:ind w:right="243"/>
        <w:rPr>
          <w:rFonts w:ascii="Century" w:eastAsiaTheme="minorEastAsia" w:hAnsi="Century"/>
          <w:lang w:eastAsia="ja-JP"/>
        </w:rPr>
      </w:pPr>
      <w:r w:rsidRPr="00246611">
        <w:rPr>
          <w:rFonts w:ascii="Century" w:eastAsiaTheme="minorEastAsia" w:hAnsi="Century" w:hint="eastAsia"/>
          <w:lang w:eastAsia="ja-JP"/>
        </w:rPr>
        <w:t>貿易金融促進のための</w:t>
      </w:r>
      <w:r>
        <w:rPr>
          <w:rFonts w:ascii="Century" w:eastAsiaTheme="minorEastAsia" w:hAnsi="Century" w:hint="eastAsia"/>
          <w:lang w:eastAsia="ja-JP"/>
        </w:rPr>
        <w:t>購買</w:t>
      </w:r>
      <w:r w:rsidRPr="00246611">
        <w:rPr>
          <w:rFonts w:ascii="Century" w:eastAsiaTheme="minorEastAsia" w:hAnsi="Century"/>
          <w:lang w:eastAsia="ja-JP"/>
        </w:rPr>
        <w:t>/</w:t>
      </w:r>
      <w:r w:rsidRPr="00246611">
        <w:rPr>
          <w:rFonts w:ascii="Century" w:eastAsiaTheme="minorEastAsia" w:hAnsi="Century" w:hint="eastAsia"/>
          <w:lang w:eastAsia="ja-JP"/>
        </w:rPr>
        <w:t>出荷</w:t>
      </w:r>
      <w:r w:rsidRPr="00246611">
        <w:rPr>
          <w:rFonts w:ascii="Century" w:eastAsiaTheme="minorEastAsia" w:hAnsi="Century"/>
          <w:lang w:eastAsia="ja-JP"/>
        </w:rPr>
        <w:t>/</w:t>
      </w:r>
      <w:r w:rsidRPr="00246611">
        <w:rPr>
          <w:rFonts w:ascii="Century" w:eastAsiaTheme="minorEastAsia" w:hAnsi="Century" w:hint="eastAsia"/>
          <w:lang w:eastAsia="ja-JP"/>
        </w:rPr>
        <w:t>支払いデータ交換構造</w:t>
      </w:r>
      <w:r>
        <w:rPr>
          <w:rFonts w:ascii="Century" w:eastAsiaTheme="minorEastAsia" w:hAnsi="Century" w:hint="eastAsia"/>
          <w:lang w:eastAsia="ja-JP"/>
        </w:rPr>
        <w:t>の整備。日本の菅又が進捗状況を報</w:t>
      </w:r>
      <w:r>
        <w:rPr>
          <w:rFonts w:ascii="Century" w:eastAsiaTheme="minorEastAsia" w:hAnsi="Century" w:hint="eastAsia"/>
          <w:lang w:eastAsia="ja-JP"/>
        </w:rPr>
        <w:lastRenderedPageBreak/>
        <w:t>告（本報告「２．２　貿易金融プロジェクト報告」参照）。</w:t>
      </w:r>
    </w:p>
    <w:p w14:paraId="67F09DD0" w14:textId="330CE88C" w:rsidR="00246611" w:rsidRDefault="00246611" w:rsidP="001F2656">
      <w:pPr>
        <w:pStyle w:val="a3"/>
        <w:numPr>
          <w:ilvl w:val="0"/>
          <w:numId w:val="34"/>
        </w:numPr>
        <w:spacing w:before="13" w:line="295" w:lineRule="auto"/>
        <w:ind w:right="243"/>
        <w:rPr>
          <w:rFonts w:ascii="Century" w:eastAsiaTheme="minorEastAsia" w:hAnsi="Century"/>
          <w:lang w:eastAsia="ja-JP"/>
        </w:rPr>
      </w:pPr>
      <w:r>
        <w:rPr>
          <w:rFonts w:ascii="Century" w:eastAsiaTheme="minorEastAsia" w:hAnsi="Century" w:hint="eastAsia"/>
          <w:lang w:eastAsia="ja-JP"/>
        </w:rPr>
        <w:t>小包商品配送プロジェクト</w:t>
      </w:r>
    </w:p>
    <w:p w14:paraId="5C9C7F70" w14:textId="74D41E2E" w:rsidR="00CD78BD" w:rsidRDefault="00246611" w:rsidP="00F17DB3">
      <w:pPr>
        <w:pStyle w:val="a3"/>
        <w:spacing w:before="13" w:line="295" w:lineRule="auto"/>
        <w:ind w:right="243"/>
        <w:rPr>
          <w:rFonts w:ascii="Century" w:eastAsiaTheme="minorEastAsia" w:hAnsi="Century"/>
          <w:lang w:eastAsia="ja-JP"/>
        </w:rPr>
      </w:pPr>
      <w:r w:rsidRPr="00246611">
        <w:rPr>
          <w:rFonts w:ascii="Century" w:eastAsiaTheme="minorEastAsia" w:hAnsi="Century" w:hint="eastAsia"/>
          <w:lang w:eastAsia="ja-JP"/>
        </w:rPr>
        <w:t>ラストマイル配送における小包商品の追跡</w:t>
      </w:r>
      <w:r>
        <w:rPr>
          <w:rFonts w:ascii="Century" w:eastAsiaTheme="minorEastAsia" w:hAnsi="Century" w:hint="eastAsia"/>
          <w:lang w:eastAsia="ja-JP"/>
        </w:rPr>
        <w:t>を可能にする。</w:t>
      </w:r>
    </w:p>
    <w:p w14:paraId="5F19BFE3" w14:textId="3106848F" w:rsidR="00246611" w:rsidRDefault="00246611" w:rsidP="001F2656">
      <w:pPr>
        <w:pStyle w:val="a3"/>
        <w:numPr>
          <w:ilvl w:val="0"/>
          <w:numId w:val="35"/>
        </w:numPr>
        <w:spacing w:before="13" w:line="295" w:lineRule="auto"/>
        <w:ind w:right="243"/>
        <w:rPr>
          <w:rFonts w:ascii="Century" w:eastAsiaTheme="minorEastAsia" w:hAnsi="Century"/>
          <w:lang w:eastAsia="ja-JP"/>
        </w:rPr>
      </w:pPr>
      <w:r>
        <w:rPr>
          <w:rFonts w:ascii="Century" w:eastAsiaTheme="minorEastAsia" w:hAnsi="Century" w:hint="eastAsia"/>
          <w:lang w:eastAsia="ja-JP"/>
        </w:rPr>
        <w:t>外部組織との合同作業：</w:t>
      </w:r>
    </w:p>
    <w:p w14:paraId="569AE77A" w14:textId="37E2A6A8" w:rsidR="00246611" w:rsidRDefault="001F2656" w:rsidP="001F2656">
      <w:pPr>
        <w:pStyle w:val="a3"/>
        <w:numPr>
          <w:ilvl w:val="0"/>
          <w:numId w:val="36"/>
        </w:numPr>
        <w:spacing w:before="13" w:line="295" w:lineRule="auto"/>
        <w:ind w:right="243"/>
        <w:rPr>
          <w:rFonts w:ascii="Century" w:eastAsiaTheme="minorEastAsia" w:hAnsi="Century"/>
          <w:lang w:eastAsia="ja-JP"/>
        </w:rPr>
      </w:pPr>
      <w:bookmarkStart w:id="1" w:name="_Hlk216085747"/>
      <w:r>
        <w:rPr>
          <w:rFonts w:ascii="Century" w:eastAsiaTheme="minorEastAsia" w:hAnsi="Century" w:hint="eastAsia"/>
          <w:lang w:eastAsia="ja-JP"/>
        </w:rPr>
        <w:t>国際海事機関</w:t>
      </w:r>
      <w:r w:rsidR="00C81460">
        <w:rPr>
          <w:rFonts w:ascii="Century" w:eastAsiaTheme="minorEastAsia" w:hAnsi="Century" w:hint="eastAsia"/>
          <w:lang w:eastAsia="ja-JP"/>
        </w:rPr>
        <w:t>（</w:t>
      </w:r>
      <w:r w:rsidR="00C81460">
        <w:rPr>
          <w:rFonts w:ascii="Century" w:eastAsiaTheme="minorEastAsia" w:hAnsi="Century" w:hint="eastAsia"/>
          <w:lang w:eastAsia="ja-JP"/>
        </w:rPr>
        <w:t>IMO</w:t>
      </w:r>
      <w:r w:rsidR="00C81460">
        <w:rPr>
          <w:rFonts w:ascii="Century" w:eastAsiaTheme="minorEastAsia" w:hAnsi="Century" w:hint="eastAsia"/>
          <w:lang w:eastAsia="ja-JP"/>
        </w:rPr>
        <w:t>）</w:t>
      </w:r>
      <w:bookmarkEnd w:id="1"/>
      <w:r w:rsidR="00246611">
        <w:rPr>
          <w:rFonts w:ascii="Century" w:eastAsiaTheme="minorEastAsia" w:hAnsi="Century" w:hint="eastAsia"/>
          <w:lang w:eastAsia="ja-JP"/>
        </w:rPr>
        <w:t>マニュアルと国連</w:t>
      </w:r>
      <w:r w:rsidR="00246611">
        <w:rPr>
          <w:rFonts w:ascii="Century" w:eastAsiaTheme="minorEastAsia" w:hAnsi="Century" w:hint="eastAsia"/>
          <w:lang w:eastAsia="ja-JP"/>
        </w:rPr>
        <w:t>CEFACT MMTRDM</w:t>
      </w:r>
      <w:r w:rsidR="00246611">
        <w:rPr>
          <w:rFonts w:ascii="Century" w:eastAsiaTheme="minorEastAsia" w:hAnsi="Century" w:hint="eastAsia"/>
          <w:lang w:eastAsia="ja-JP"/>
        </w:rPr>
        <w:t>とのマッピング</w:t>
      </w:r>
    </w:p>
    <w:p w14:paraId="3DA06C79" w14:textId="18E66AEF" w:rsidR="00246611" w:rsidRDefault="001F2656" w:rsidP="001F2656">
      <w:pPr>
        <w:pStyle w:val="a3"/>
        <w:numPr>
          <w:ilvl w:val="0"/>
          <w:numId w:val="36"/>
        </w:numPr>
        <w:spacing w:before="13" w:line="295" w:lineRule="auto"/>
        <w:ind w:right="243"/>
        <w:rPr>
          <w:rFonts w:ascii="Century" w:eastAsiaTheme="minorEastAsia" w:hAnsi="Century"/>
          <w:lang w:eastAsia="ja-JP"/>
        </w:rPr>
      </w:pPr>
      <w:r>
        <w:rPr>
          <w:rFonts w:ascii="Century" w:eastAsiaTheme="minorEastAsia" w:hAnsi="Century" w:hint="eastAsia"/>
          <w:lang w:eastAsia="ja-JP"/>
        </w:rPr>
        <w:t>WCO</w:t>
      </w:r>
      <w:r>
        <w:rPr>
          <w:rFonts w:ascii="Century" w:eastAsiaTheme="minorEastAsia" w:hAnsi="Century" w:hint="eastAsia"/>
          <w:lang w:eastAsia="ja-JP"/>
        </w:rPr>
        <w:t>データモデルと国連</w:t>
      </w:r>
      <w:r>
        <w:rPr>
          <w:rFonts w:ascii="Century" w:eastAsiaTheme="minorEastAsia" w:hAnsi="Century" w:hint="eastAsia"/>
          <w:lang w:eastAsia="ja-JP"/>
        </w:rPr>
        <w:t>CEFACT</w:t>
      </w:r>
      <w:r>
        <w:rPr>
          <w:rFonts w:ascii="Century" w:eastAsiaTheme="minorEastAsia" w:hAnsi="Century" w:hint="eastAsia"/>
          <w:lang w:eastAsia="ja-JP"/>
        </w:rPr>
        <w:t>参照データモデルとのマッピング</w:t>
      </w:r>
    </w:p>
    <w:p w14:paraId="70923196" w14:textId="124DEE06" w:rsidR="001F2656" w:rsidRDefault="001F2656" w:rsidP="001F2656">
      <w:pPr>
        <w:pStyle w:val="a3"/>
        <w:numPr>
          <w:ilvl w:val="0"/>
          <w:numId w:val="36"/>
        </w:numPr>
        <w:spacing w:before="13" w:line="295" w:lineRule="auto"/>
        <w:ind w:right="243"/>
        <w:rPr>
          <w:rFonts w:ascii="Century" w:eastAsiaTheme="minorEastAsia" w:hAnsi="Century"/>
          <w:lang w:eastAsia="ja-JP"/>
        </w:rPr>
      </w:pPr>
      <w:r>
        <w:rPr>
          <w:rFonts w:ascii="Century" w:eastAsiaTheme="minorEastAsia" w:hAnsi="Century" w:hint="eastAsia"/>
          <w:lang w:eastAsia="ja-JP"/>
        </w:rPr>
        <w:t>ISO5909</w:t>
      </w:r>
      <w:r>
        <w:rPr>
          <w:rFonts w:ascii="Century" w:eastAsiaTheme="minorEastAsia" w:hAnsi="Century" w:hint="eastAsia"/>
          <w:lang w:eastAsia="ja-JP"/>
        </w:rPr>
        <w:t>：ブロックチェーン</w:t>
      </w:r>
      <w:r w:rsidRPr="001F2656">
        <w:rPr>
          <w:rFonts w:ascii="Century" w:eastAsiaTheme="minorEastAsia" w:hAnsi="Century" w:hint="eastAsia"/>
          <w:lang w:eastAsia="ja-JP"/>
        </w:rPr>
        <w:t>ベースの電子船荷証券のビジネスプロセスとデータ交換</w:t>
      </w:r>
    </w:p>
    <w:p w14:paraId="1F4CB6CF" w14:textId="12D7477F" w:rsidR="00246611" w:rsidRPr="00246611" w:rsidRDefault="001F2656" w:rsidP="001F2656">
      <w:pPr>
        <w:pStyle w:val="a3"/>
        <w:numPr>
          <w:ilvl w:val="0"/>
          <w:numId w:val="36"/>
        </w:numPr>
        <w:spacing w:before="13" w:line="295" w:lineRule="auto"/>
        <w:ind w:right="243"/>
        <w:rPr>
          <w:rFonts w:ascii="Century" w:eastAsiaTheme="minorEastAsia" w:hAnsi="Century"/>
          <w:lang w:eastAsia="ja-JP"/>
        </w:rPr>
      </w:pPr>
      <w:r>
        <w:rPr>
          <w:rFonts w:ascii="Century" w:eastAsiaTheme="minorEastAsia" w:hAnsi="Century" w:hint="eastAsia"/>
          <w:lang w:eastAsia="ja-JP"/>
        </w:rPr>
        <w:t>ISO7372</w:t>
      </w:r>
      <w:r>
        <w:rPr>
          <w:rFonts w:ascii="Century" w:eastAsiaTheme="minorEastAsia" w:hAnsi="Century" w:hint="eastAsia"/>
          <w:lang w:eastAsia="ja-JP"/>
        </w:rPr>
        <w:t>：国連貿易データ要素辞書（</w:t>
      </w:r>
      <w:r>
        <w:rPr>
          <w:rFonts w:ascii="Century" w:eastAsiaTheme="minorEastAsia" w:hAnsi="Century" w:hint="eastAsia"/>
          <w:lang w:eastAsia="ja-JP"/>
        </w:rPr>
        <w:t>TDED</w:t>
      </w:r>
      <w:r>
        <w:rPr>
          <w:rFonts w:ascii="Century" w:eastAsiaTheme="minorEastAsia" w:hAnsi="Century" w:hint="eastAsia"/>
          <w:lang w:eastAsia="ja-JP"/>
        </w:rPr>
        <w:t>）</w:t>
      </w:r>
    </w:p>
    <w:p w14:paraId="448F654C" w14:textId="77777777" w:rsidR="00181F94" w:rsidRDefault="00181F94" w:rsidP="00F17DB3">
      <w:pPr>
        <w:pStyle w:val="a3"/>
        <w:spacing w:before="13" w:line="295" w:lineRule="auto"/>
        <w:ind w:right="243"/>
        <w:rPr>
          <w:rFonts w:ascii="Century" w:eastAsiaTheme="minorEastAsia" w:hAnsi="Century"/>
          <w:lang w:eastAsia="ja-JP"/>
        </w:rPr>
      </w:pPr>
    </w:p>
    <w:p w14:paraId="53EE7864" w14:textId="1ED62499" w:rsidR="00076C56" w:rsidRDefault="00076C56" w:rsidP="00076C56">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３．２　電子船荷証券の実装</w:t>
      </w:r>
    </w:p>
    <w:p w14:paraId="18BC7872" w14:textId="0EB7D788" w:rsidR="00130867" w:rsidRDefault="00E13348" w:rsidP="00461DE6">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 xml:space="preserve">　貿易金融プロジェクトにて、</w:t>
      </w:r>
      <w:r>
        <w:rPr>
          <w:rFonts w:ascii="Century" w:eastAsiaTheme="minorEastAsia" w:hAnsi="Century" w:hint="eastAsia"/>
          <w:lang w:eastAsia="ja-JP"/>
        </w:rPr>
        <w:t>ISO5909</w:t>
      </w:r>
      <w:r>
        <w:rPr>
          <w:rFonts w:ascii="Century" w:eastAsiaTheme="minorEastAsia" w:hAnsi="Century" w:hint="eastAsia"/>
          <w:lang w:eastAsia="ja-JP"/>
        </w:rPr>
        <w:t>の業務要件に対応するため、菅又より</w:t>
      </w:r>
      <w:r w:rsidR="009E20BB">
        <w:rPr>
          <w:rFonts w:ascii="Century" w:eastAsiaTheme="minorEastAsia" w:hAnsi="Century" w:hint="eastAsia"/>
          <w:lang w:eastAsia="ja-JP"/>
        </w:rPr>
        <w:t>提案した電子船荷証券「裏書」用のデータモデルを紹介した（図―４）。</w:t>
      </w:r>
    </w:p>
    <w:p w14:paraId="125D0A55" w14:textId="0FBEA01F" w:rsidR="009E20BB" w:rsidRDefault="009E20BB" w:rsidP="009E20BB">
      <w:pPr>
        <w:pStyle w:val="a3"/>
        <w:spacing w:before="13" w:line="295" w:lineRule="auto"/>
        <w:ind w:right="243"/>
        <w:jc w:val="center"/>
        <w:rPr>
          <w:rFonts w:ascii="Century" w:eastAsiaTheme="minorEastAsia" w:hAnsi="Century"/>
          <w:lang w:eastAsia="ja-JP"/>
        </w:rPr>
      </w:pPr>
      <w:r w:rsidRPr="009E20BB">
        <w:rPr>
          <w:noProof/>
        </w:rPr>
        <w:drawing>
          <wp:inline distT="0" distB="0" distL="0" distR="0" wp14:anchorId="290B67BF" wp14:editId="5103A98D">
            <wp:extent cx="4521200" cy="2266232"/>
            <wp:effectExtent l="0" t="0" r="0" b="1270"/>
            <wp:docPr id="25331285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34083" cy="2272690"/>
                    </a:xfrm>
                    <a:prstGeom prst="rect">
                      <a:avLst/>
                    </a:prstGeom>
                    <a:noFill/>
                    <a:ln>
                      <a:noFill/>
                    </a:ln>
                  </pic:spPr>
                </pic:pic>
              </a:graphicData>
            </a:graphic>
          </wp:inline>
        </w:drawing>
      </w:r>
    </w:p>
    <w:p w14:paraId="4F57F156" w14:textId="04E0314B" w:rsidR="009E20BB" w:rsidRPr="009E20BB" w:rsidRDefault="009E20BB" w:rsidP="009E20BB">
      <w:pPr>
        <w:pStyle w:val="a3"/>
        <w:spacing w:before="13" w:line="295" w:lineRule="auto"/>
        <w:ind w:right="243"/>
        <w:jc w:val="center"/>
        <w:rPr>
          <w:rFonts w:ascii="Century" w:eastAsiaTheme="minorEastAsia" w:hAnsi="Century"/>
          <w:lang w:eastAsia="ja-JP"/>
        </w:rPr>
      </w:pPr>
      <w:r>
        <w:rPr>
          <w:rFonts w:ascii="Century" w:eastAsiaTheme="minorEastAsia" w:hAnsi="Century" w:hint="eastAsia"/>
          <w:lang w:eastAsia="ja-JP"/>
        </w:rPr>
        <w:t>図―４　船荷証券裏書データモデル</w:t>
      </w:r>
    </w:p>
    <w:p w14:paraId="1E85D798" w14:textId="7D5C9D66" w:rsidR="009E20BB" w:rsidRDefault="009E20BB" w:rsidP="00461DE6">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 xml:space="preserve">　裏書情報（</w:t>
      </w:r>
      <w:r>
        <w:rPr>
          <w:rFonts w:ascii="Century" w:eastAsiaTheme="minorEastAsia" w:hAnsi="Century" w:hint="eastAsia"/>
          <w:lang w:eastAsia="ja-JP"/>
        </w:rPr>
        <w:t>Endorsement</w:t>
      </w:r>
      <w:r>
        <w:rPr>
          <w:rFonts w:ascii="Century" w:eastAsiaTheme="minorEastAsia" w:hAnsi="Century" w:hint="eastAsia"/>
          <w:lang w:eastAsia="ja-JP"/>
        </w:rPr>
        <w:t>）は裏書宛先（</w:t>
      </w:r>
      <w:r>
        <w:rPr>
          <w:rFonts w:ascii="Century" w:eastAsiaTheme="minorEastAsia" w:hAnsi="Century" w:hint="eastAsia"/>
          <w:lang w:eastAsia="ja-JP"/>
        </w:rPr>
        <w:t>Endorsee</w:t>
      </w:r>
      <w:r>
        <w:rPr>
          <w:rFonts w:ascii="Century" w:eastAsiaTheme="minorEastAsia" w:hAnsi="Century" w:hint="eastAsia"/>
          <w:lang w:eastAsia="ja-JP"/>
        </w:rPr>
        <w:t>）と裏書人の電子署名（</w:t>
      </w:r>
      <w:r>
        <w:rPr>
          <w:rFonts w:ascii="Century" w:eastAsiaTheme="minorEastAsia" w:hAnsi="Century" w:hint="eastAsia"/>
          <w:lang w:eastAsia="ja-JP"/>
        </w:rPr>
        <w:t>Endorser Signature</w:t>
      </w:r>
      <w:r>
        <w:rPr>
          <w:rFonts w:ascii="Century" w:eastAsiaTheme="minorEastAsia" w:hAnsi="Century" w:hint="eastAsia"/>
          <w:lang w:eastAsia="ja-JP"/>
        </w:rPr>
        <w:t>）を持つ。裏書情報は船荷証券メッセージ（</w:t>
      </w:r>
      <w:r>
        <w:rPr>
          <w:rFonts w:ascii="Century" w:eastAsiaTheme="minorEastAsia" w:hAnsi="Century" w:hint="eastAsia"/>
          <w:lang w:eastAsia="ja-JP"/>
        </w:rPr>
        <w:t>Bill of Lading Message</w:t>
      </w:r>
      <w:r>
        <w:rPr>
          <w:rFonts w:ascii="Century" w:eastAsiaTheme="minorEastAsia" w:hAnsi="Century" w:hint="eastAsia"/>
          <w:lang w:eastAsia="ja-JP"/>
        </w:rPr>
        <w:t>）の文書交換ヘッダー（</w:t>
      </w:r>
      <w:r>
        <w:rPr>
          <w:rFonts w:ascii="Century" w:eastAsiaTheme="minorEastAsia" w:hAnsi="Century" w:hint="eastAsia"/>
          <w:lang w:eastAsia="ja-JP"/>
        </w:rPr>
        <w:t>Exchanged Document</w:t>
      </w:r>
      <w:r>
        <w:rPr>
          <w:rFonts w:ascii="Century" w:eastAsiaTheme="minorEastAsia" w:hAnsi="Century" w:hint="eastAsia"/>
          <w:lang w:eastAsia="ja-JP"/>
        </w:rPr>
        <w:t>）の一部となっている。なお、船荷</w:t>
      </w:r>
      <w:r w:rsidR="009C0362">
        <w:rPr>
          <w:rFonts w:ascii="Century" w:eastAsiaTheme="minorEastAsia" w:hAnsi="Century" w:hint="eastAsia"/>
          <w:lang w:eastAsia="ja-JP"/>
        </w:rPr>
        <w:t>に関わる</w:t>
      </w:r>
      <w:r>
        <w:rPr>
          <w:rFonts w:ascii="Century" w:eastAsiaTheme="minorEastAsia" w:hAnsi="Century" w:hint="eastAsia"/>
          <w:lang w:eastAsia="ja-JP"/>
        </w:rPr>
        <w:t>主要情報（</w:t>
      </w:r>
      <w:r w:rsidR="009C0362">
        <w:rPr>
          <w:rFonts w:ascii="Century" w:eastAsiaTheme="minorEastAsia" w:hAnsi="Century" w:hint="eastAsia"/>
          <w:lang w:eastAsia="ja-JP"/>
        </w:rPr>
        <w:t>荷主、輸送、貨物など）は委託貨物情報（</w:t>
      </w:r>
      <w:r w:rsidR="009C0362">
        <w:rPr>
          <w:rFonts w:ascii="Century" w:eastAsiaTheme="minorEastAsia" w:hAnsi="Century" w:hint="eastAsia"/>
          <w:lang w:eastAsia="ja-JP"/>
        </w:rPr>
        <w:t>Consignment</w:t>
      </w:r>
      <w:r w:rsidR="009C0362">
        <w:rPr>
          <w:rFonts w:ascii="Century" w:eastAsiaTheme="minorEastAsia" w:hAnsi="Century" w:hint="eastAsia"/>
          <w:lang w:eastAsia="ja-JP"/>
        </w:rPr>
        <w:t>）として船荷証券メッセージの中核部を成している。</w:t>
      </w:r>
    </w:p>
    <w:p w14:paraId="14C882B3" w14:textId="77777777" w:rsidR="009C0362" w:rsidRDefault="009C0362" w:rsidP="00076C56">
      <w:pPr>
        <w:pStyle w:val="a3"/>
        <w:spacing w:before="13" w:line="295" w:lineRule="auto"/>
        <w:ind w:right="243"/>
        <w:rPr>
          <w:rFonts w:ascii="Century" w:eastAsiaTheme="minorEastAsia" w:hAnsi="Century"/>
          <w:lang w:eastAsia="ja-JP"/>
        </w:rPr>
      </w:pPr>
    </w:p>
    <w:p w14:paraId="24378823" w14:textId="650F3DF3" w:rsidR="00076C56" w:rsidRDefault="00076C56" w:rsidP="00076C56">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４．最新技術</w:t>
      </w:r>
    </w:p>
    <w:p w14:paraId="2ABAF71B" w14:textId="77777777" w:rsidR="00076C56" w:rsidRDefault="00076C56" w:rsidP="00076C56">
      <w:pPr>
        <w:pStyle w:val="a3"/>
        <w:spacing w:before="13" w:line="295" w:lineRule="auto"/>
        <w:ind w:right="243"/>
        <w:rPr>
          <w:rFonts w:ascii="Century" w:eastAsiaTheme="minorEastAsia" w:hAnsi="Century"/>
          <w:lang w:eastAsia="ja-JP"/>
        </w:rPr>
      </w:pPr>
    </w:p>
    <w:p w14:paraId="016E5D91" w14:textId="63F2C55C" w:rsidR="00076C56" w:rsidRDefault="00076C56" w:rsidP="00076C56">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４．１　検証可能な貿易文書</w:t>
      </w:r>
    </w:p>
    <w:p w14:paraId="3A35A6BA" w14:textId="461FD064" w:rsidR="006B58A7" w:rsidRDefault="006B58A7" w:rsidP="006B58A7">
      <w:pPr>
        <w:pStyle w:val="a3"/>
        <w:spacing w:before="13" w:line="295" w:lineRule="auto"/>
        <w:ind w:right="243" w:firstLineChars="100" w:firstLine="210"/>
        <w:rPr>
          <w:rFonts w:ascii="Century" w:eastAsiaTheme="minorEastAsia" w:hAnsi="Century"/>
          <w:lang w:eastAsia="ja-JP"/>
        </w:rPr>
      </w:pPr>
      <w:r>
        <w:rPr>
          <w:rFonts w:ascii="Century" w:eastAsiaTheme="minorEastAsia" w:hAnsi="Century" w:hint="eastAsia"/>
          <w:lang w:eastAsia="ja-JP"/>
        </w:rPr>
        <w:t>国連</w:t>
      </w:r>
      <w:r w:rsidRPr="006B58A7">
        <w:rPr>
          <w:rFonts w:ascii="Century" w:eastAsiaTheme="minorEastAsia" w:hAnsi="Century" w:hint="eastAsia"/>
          <w:lang w:eastAsia="ja-JP"/>
        </w:rPr>
        <w:t>検証可能貿易文書</w:t>
      </w:r>
      <w:r w:rsidR="001227C9">
        <w:rPr>
          <w:rFonts w:ascii="Century" w:eastAsiaTheme="minorEastAsia" w:hAnsi="Century" w:hint="eastAsia"/>
          <w:lang w:eastAsia="ja-JP"/>
        </w:rPr>
        <w:t>（</w:t>
      </w:r>
      <w:r w:rsidR="001227C9">
        <w:rPr>
          <w:rFonts w:ascii="Century" w:eastAsiaTheme="minorEastAsia" w:hAnsi="Century" w:hint="eastAsia"/>
          <w:lang w:eastAsia="ja-JP"/>
        </w:rPr>
        <w:t>UNVTD</w:t>
      </w:r>
      <w:r w:rsidR="001227C9">
        <w:rPr>
          <w:rFonts w:ascii="Century" w:eastAsiaTheme="minorEastAsia" w:hAnsi="Century" w:hint="eastAsia"/>
          <w:lang w:eastAsia="ja-JP"/>
        </w:rPr>
        <w:t>）</w:t>
      </w:r>
      <w:r w:rsidRPr="006B58A7">
        <w:rPr>
          <w:rFonts w:ascii="Century" w:eastAsiaTheme="minorEastAsia" w:hAnsi="Century" w:hint="eastAsia"/>
          <w:lang w:eastAsia="ja-JP"/>
        </w:rPr>
        <w:t>プロジェクトの概要説明</w:t>
      </w:r>
      <w:r w:rsidR="001227C9">
        <w:rPr>
          <w:rFonts w:ascii="Century" w:eastAsiaTheme="minorEastAsia" w:hAnsi="Century" w:hint="eastAsia"/>
          <w:lang w:eastAsia="ja-JP"/>
        </w:rPr>
        <w:t>が行われた。</w:t>
      </w:r>
    </w:p>
    <w:p w14:paraId="4D09B908" w14:textId="5D870072" w:rsidR="00076C56" w:rsidRDefault="006B58A7" w:rsidP="006B58A7">
      <w:pPr>
        <w:pStyle w:val="a3"/>
        <w:spacing w:before="13" w:line="295" w:lineRule="auto"/>
        <w:ind w:right="243" w:firstLineChars="100" w:firstLine="210"/>
        <w:rPr>
          <w:rFonts w:ascii="Century" w:eastAsiaTheme="minorEastAsia" w:hAnsi="Century"/>
          <w:lang w:eastAsia="ja-JP"/>
        </w:rPr>
      </w:pPr>
      <w:r w:rsidRPr="006B58A7">
        <w:rPr>
          <w:rFonts w:ascii="Century" w:eastAsiaTheme="minorEastAsia" w:hAnsi="Century" w:hint="eastAsia"/>
          <w:lang w:eastAsia="ja-JP"/>
        </w:rPr>
        <w:t>検証可能証明書（</w:t>
      </w:r>
      <w:r w:rsidRPr="006B58A7">
        <w:rPr>
          <w:rFonts w:ascii="Century" w:eastAsiaTheme="minorEastAsia" w:hAnsi="Century"/>
          <w:lang w:eastAsia="ja-JP"/>
        </w:rPr>
        <w:t>VC</w:t>
      </w:r>
      <w:r w:rsidRPr="006B58A7">
        <w:rPr>
          <w:rFonts w:ascii="Century" w:eastAsiaTheme="minorEastAsia" w:hAnsi="Century" w:hint="eastAsia"/>
          <w:lang w:eastAsia="ja-JP"/>
        </w:rPr>
        <w:t>）は、国境を越えたデジタル取引において、低コスト、高整合性、そしてよりスケーラブルな実装モデルを提供</w:t>
      </w:r>
      <w:r>
        <w:rPr>
          <w:rFonts w:ascii="Century" w:eastAsiaTheme="minorEastAsia" w:hAnsi="Century" w:hint="eastAsia"/>
          <w:lang w:eastAsia="ja-JP"/>
        </w:rPr>
        <w:t>できる</w:t>
      </w:r>
      <w:r w:rsidRPr="006B58A7">
        <w:rPr>
          <w:rFonts w:ascii="Century" w:eastAsiaTheme="minorEastAsia" w:hAnsi="Century" w:hint="eastAsia"/>
          <w:lang w:eastAsia="ja-JP"/>
        </w:rPr>
        <w:t>。</w:t>
      </w:r>
      <w:r>
        <w:rPr>
          <w:rFonts w:ascii="Century" w:eastAsiaTheme="minorEastAsia" w:hAnsi="Century" w:hint="eastAsia"/>
          <w:lang w:eastAsia="ja-JP"/>
        </w:rPr>
        <w:t>例えば、海外旅行の時の</w:t>
      </w:r>
      <w:r w:rsidRPr="006B58A7">
        <w:rPr>
          <w:rFonts w:ascii="Century" w:eastAsiaTheme="minorEastAsia" w:hAnsi="Century" w:hint="eastAsia"/>
          <w:lang w:eastAsia="ja-JP"/>
        </w:rPr>
        <w:t>パスポートのように、人間と機械が読み取り可能な構造であり、ゲートウェイ、ハブ、ルーティングインフラを必要とし</w:t>
      </w:r>
      <w:r>
        <w:rPr>
          <w:rFonts w:ascii="Century" w:eastAsiaTheme="minorEastAsia" w:hAnsi="Century" w:hint="eastAsia"/>
          <w:lang w:eastAsia="ja-JP"/>
        </w:rPr>
        <w:t>ない</w:t>
      </w:r>
      <w:r w:rsidRPr="006B58A7">
        <w:rPr>
          <w:rFonts w:ascii="Century" w:eastAsiaTheme="minorEastAsia" w:hAnsi="Century" w:hint="eastAsia"/>
          <w:lang w:eastAsia="ja-JP"/>
        </w:rPr>
        <w:t>。</w:t>
      </w:r>
      <w:r w:rsidRPr="006B58A7">
        <w:rPr>
          <w:rFonts w:ascii="Century" w:eastAsiaTheme="minorEastAsia" w:hAnsi="Century"/>
          <w:lang w:eastAsia="ja-JP"/>
        </w:rPr>
        <w:t>VC</w:t>
      </w:r>
      <w:r w:rsidRPr="006B58A7">
        <w:rPr>
          <w:rFonts w:ascii="Century" w:eastAsiaTheme="minorEastAsia" w:hAnsi="Century" w:hint="eastAsia"/>
          <w:lang w:eastAsia="ja-JP"/>
        </w:rPr>
        <w:t>は、貨物（運送状</w:t>
      </w:r>
      <w:r w:rsidRPr="006B58A7">
        <w:rPr>
          <w:rFonts w:ascii="Century" w:eastAsiaTheme="minorEastAsia" w:hAnsi="Century"/>
          <w:lang w:eastAsia="ja-JP"/>
        </w:rPr>
        <w:t>ID</w:t>
      </w:r>
      <w:r w:rsidRPr="006B58A7">
        <w:rPr>
          <w:rFonts w:ascii="Century" w:eastAsiaTheme="minorEastAsia" w:hAnsi="Century" w:hint="eastAsia"/>
          <w:lang w:eastAsia="ja-JP"/>
        </w:rPr>
        <w:t>）または貿易（請求書</w:t>
      </w:r>
      <w:r w:rsidRPr="006B58A7">
        <w:rPr>
          <w:rFonts w:ascii="Century" w:eastAsiaTheme="minorEastAsia" w:hAnsi="Century"/>
          <w:lang w:eastAsia="ja-JP"/>
        </w:rPr>
        <w:t>ID</w:t>
      </w:r>
      <w:r w:rsidRPr="006B58A7">
        <w:rPr>
          <w:rFonts w:ascii="Century" w:eastAsiaTheme="minorEastAsia" w:hAnsi="Century" w:hint="eastAsia"/>
          <w:lang w:eastAsia="ja-JP"/>
        </w:rPr>
        <w:t>）に論理的にリンクされ、信頼できるデジタル</w:t>
      </w:r>
      <w:r w:rsidRPr="006B58A7">
        <w:rPr>
          <w:rFonts w:ascii="Century" w:eastAsiaTheme="minorEastAsia" w:hAnsi="Century"/>
          <w:lang w:eastAsia="ja-JP"/>
        </w:rPr>
        <w:t>ID</w:t>
      </w:r>
      <w:r w:rsidRPr="006B58A7">
        <w:rPr>
          <w:rFonts w:ascii="Century" w:eastAsiaTheme="minorEastAsia" w:hAnsi="Century" w:hint="eastAsia"/>
          <w:lang w:eastAsia="ja-JP"/>
        </w:rPr>
        <w:t>に紐付けられ</w:t>
      </w:r>
      <w:r>
        <w:rPr>
          <w:rFonts w:ascii="Century" w:eastAsiaTheme="minorEastAsia" w:hAnsi="Century" w:hint="eastAsia"/>
          <w:lang w:eastAsia="ja-JP"/>
        </w:rPr>
        <w:t>る</w:t>
      </w:r>
      <w:r w:rsidRPr="006B58A7">
        <w:rPr>
          <w:rFonts w:ascii="Century" w:eastAsiaTheme="minorEastAsia" w:hAnsi="Century" w:hint="eastAsia"/>
          <w:lang w:eastAsia="ja-JP"/>
        </w:rPr>
        <w:t>。さらに、</w:t>
      </w:r>
      <w:r w:rsidRPr="006B58A7">
        <w:rPr>
          <w:rFonts w:ascii="Century" w:eastAsiaTheme="minorEastAsia" w:hAnsi="Century"/>
          <w:lang w:eastAsia="ja-JP"/>
        </w:rPr>
        <w:t>VC</w:t>
      </w:r>
      <w:r w:rsidRPr="006B58A7">
        <w:rPr>
          <w:rFonts w:ascii="Century" w:eastAsiaTheme="minorEastAsia" w:hAnsi="Century" w:hint="eastAsia"/>
          <w:lang w:eastAsia="ja-JP"/>
        </w:rPr>
        <w:t>は、</w:t>
      </w:r>
      <w:r w:rsidRPr="006B58A7">
        <w:rPr>
          <w:rFonts w:ascii="Century" w:eastAsiaTheme="minorEastAsia" w:hAnsi="Century"/>
          <w:lang w:eastAsia="ja-JP"/>
        </w:rPr>
        <w:t>国連国際商取引法委員会</w:t>
      </w:r>
      <w:r>
        <w:rPr>
          <w:rFonts w:ascii="Century" w:eastAsiaTheme="minorEastAsia" w:hAnsi="Century" w:hint="eastAsia"/>
          <w:lang w:eastAsia="ja-JP"/>
        </w:rPr>
        <w:t>（</w:t>
      </w:r>
      <w:r>
        <w:rPr>
          <w:rFonts w:ascii="Century" w:eastAsiaTheme="minorEastAsia" w:hAnsi="Century" w:hint="eastAsia"/>
          <w:lang w:eastAsia="ja-JP"/>
        </w:rPr>
        <w:t>UNCITRAL</w:t>
      </w:r>
      <w:r>
        <w:rPr>
          <w:rFonts w:ascii="Century" w:eastAsiaTheme="minorEastAsia" w:hAnsi="Century" w:hint="eastAsia"/>
          <w:lang w:eastAsia="ja-JP"/>
        </w:rPr>
        <w:t>）の</w:t>
      </w:r>
      <w:r w:rsidRPr="006B58A7">
        <w:rPr>
          <w:rFonts w:ascii="Century" w:eastAsiaTheme="minorEastAsia" w:hAnsi="Century"/>
          <w:lang w:eastAsia="ja-JP"/>
        </w:rPr>
        <w:t xml:space="preserve"> </w:t>
      </w:r>
      <w:r w:rsidRPr="006B58A7">
        <w:rPr>
          <w:rFonts w:ascii="Century" w:eastAsiaTheme="minorEastAsia" w:hAnsi="Century" w:hint="eastAsia"/>
          <w:lang w:eastAsia="ja-JP"/>
        </w:rPr>
        <w:t>電子的移転可能記録モデル法</w:t>
      </w:r>
      <w:r>
        <w:rPr>
          <w:rFonts w:ascii="Century" w:eastAsiaTheme="minorEastAsia" w:hAnsi="Century" w:hint="eastAsia"/>
          <w:lang w:eastAsia="ja-JP"/>
        </w:rPr>
        <w:t>（</w:t>
      </w:r>
      <w:r w:rsidRPr="006B58A7">
        <w:rPr>
          <w:rFonts w:ascii="Century" w:eastAsiaTheme="minorEastAsia" w:hAnsi="Century"/>
          <w:lang w:eastAsia="ja-JP"/>
        </w:rPr>
        <w:t>MLETR</w:t>
      </w:r>
      <w:r>
        <w:rPr>
          <w:rFonts w:ascii="Century" w:eastAsiaTheme="minorEastAsia" w:hAnsi="Century" w:hint="eastAsia"/>
          <w:lang w:eastAsia="ja-JP"/>
        </w:rPr>
        <w:t>）</w:t>
      </w:r>
      <w:r w:rsidRPr="006B58A7">
        <w:rPr>
          <w:rFonts w:ascii="Century" w:eastAsiaTheme="minorEastAsia" w:hAnsi="Century" w:hint="eastAsia"/>
          <w:lang w:eastAsia="ja-JP"/>
        </w:rPr>
        <w:t>で定義された譲渡可能な記録のための、ブロックチェーン以外の実装モデルを提供</w:t>
      </w:r>
      <w:r>
        <w:rPr>
          <w:rFonts w:ascii="Century" w:eastAsiaTheme="minorEastAsia" w:hAnsi="Century" w:hint="eastAsia"/>
          <w:lang w:eastAsia="ja-JP"/>
        </w:rPr>
        <w:t>できる</w:t>
      </w:r>
      <w:r w:rsidRPr="006B58A7">
        <w:rPr>
          <w:rFonts w:ascii="Century" w:eastAsiaTheme="minorEastAsia" w:hAnsi="Century" w:hint="eastAsia"/>
          <w:lang w:eastAsia="ja-JP"/>
        </w:rPr>
        <w:t>。</w:t>
      </w:r>
    </w:p>
    <w:p w14:paraId="494F24C9" w14:textId="024F6CB1" w:rsidR="006B58A7" w:rsidRPr="006B58A7" w:rsidRDefault="006B58A7" w:rsidP="001227C9">
      <w:pPr>
        <w:pStyle w:val="a3"/>
        <w:spacing w:before="13" w:line="295" w:lineRule="auto"/>
        <w:ind w:right="243" w:firstLineChars="100" w:firstLine="210"/>
        <w:rPr>
          <w:rFonts w:ascii="Century" w:eastAsiaTheme="minorEastAsia" w:hAnsi="Century"/>
          <w:lang w:eastAsia="ja-JP"/>
        </w:rPr>
      </w:pPr>
      <w:r w:rsidRPr="006B58A7">
        <w:rPr>
          <w:rFonts w:ascii="Century" w:eastAsiaTheme="minorEastAsia" w:hAnsi="Century" w:hint="eastAsia"/>
          <w:lang w:eastAsia="ja-JP"/>
        </w:rPr>
        <w:lastRenderedPageBreak/>
        <w:t>運送状（委託レベル）、商業送り状（貿易レベル）、製品パスポート（製品レベル）などの文書がデジタル化され、検証可能で、</w:t>
      </w:r>
      <w:r w:rsidRPr="006B58A7">
        <w:rPr>
          <w:rFonts w:ascii="Century" w:eastAsiaTheme="minorEastAsia" w:hAnsi="Century"/>
          <w:lang w:eastAsia="ja-JP"/>
        </w:rPr>
        <w:t>ID</w:t>
      </w:r>
      <w:r w:rsidRPr="006B58A7">
        <w:rPr>
          <w:rFonts w:ascii="Century" w:eastAsiaTheme="minorEastAsia" w:hAnsi="Century" w:hint="eastAsia"/>
          <w:lang w:eastAsia="ja-JP"/>
        </w:rPr>
        <w:t>が紐づけられることで、</w:t>
      </w:r>
      <w:r w:rsidR="001227C9">
        <w:rPr>
          <w:rFonts w:ascii="Century" w:eastAsiaTheme="minorEastAsia" w:hAnsi="Century" w:hint="eastAsia"/>
          <w:lang w:eastAsia="ja-JP"/>
        </w:rPr>
        <w:t>以下のような</w:t>
      </w:r>
      <w:r w:rsidRPr="006B58A7">
        <w:rPr>
          <w:rFonts w:ascii="Century" w:eastAsiaTheme="minorEastAsia" w:hAnsi="Century" w:hint="eastAsia"/>
          <w:lang w:eastAsia="ja-JP"/>
        </w:rPr>
        <w:t>新たなビジネス</w:t>
      </w:r>
      <w:bookmarkStart w:id="2" w:name="_Hlk216086221"/>
      <w:r w:rsidRPr="006B58A7">
        <w:rPr>
          <w:rFonts w:ascii="Century" w:eastAsiaTheme="minorEastAsia" w:hAnsi="Century" w:hint="eastAsia"/>
          <w:lang w:eastAsia="ja-JP"/>
        </w:rPr>
        <w:t>価値を生み出す機会が</w:t>
      </w:r>
      <w:r w:rsidR="001227C9">
        <w:rPr>
          <w:rFonts w:ascii="Century" w:eastAsiaTheme="minorEastAsia" w:hAnsi="Century" w:hint="eastAsia"/>
          <w:lang w:eastAsia="ja-JP"/>
        </w:rPr>
        <w:t>期待される</w:t>
      </w:r>
      <w:bookmarkEnd w:id="2"/>
      <w:r w:rsidRPr="006B58A7">
        <w:rPr>
          <w:rFonts w:ascii="Century" w:eastAsiaTheme="minorEastAsia" w:hAnsi="Century" w:hint="eastAsia"/>
          <w:lang w:eastAsia="ja-JP"/>
        </w:rPr>
        <w:t>。</w:t>
      </w:r>
    </w:p>
    <w:p w14:paraId="7C430104" w14:textId="03E9ACFF" w:rsidR="006B58A7" w:rsidRPr="006B58A7" w:rsidRDefault="006B58A7" w:rsidP="001227C9">
      <w:pPr>
        <w:pStyle w:val="a3"/>
        <w:numPr>
          <w:ilvl w:val="0"/>
          <w:numId w:val="37"/>
        </w:numPr>
        <w:spacing w:before="13" w:line="295" w:lineRule="auto"/>
        <w:ind w:right="243"/>
        <w:rPr>
          <w:rFonts w:ascii="Century" w:eastAsiaTheme="minorEastAsia" w:hAnsi="Century"/>
          <w:lang w:eastAsia="ja-JP"/>
        </w:rPr>
      </w:pPr>
      <w:r w:rsidRPr="006B58A7">
        <w:rPr>
          <w:rFonts w:ascii="Century" w:eastAsiaTheme="minorEastAsia" w:hAnsi="Century" w:hint="eastAsia"/>
          <w:lang w:eastAsia="ja-JP"/>
        </w:rPr>
        <w:t>マイクロファイナンスの担保としてデジタルで検証可能な資産所有権</w:t>
      </w:r>
      <w:r w:rsidR="000720B5">
        <w:rPr>
          <w:rFonts w:ascii="Century" w:eastAsiaTheme="minorEastAsia" w:hAnsi="Century" w:hint="eastAsia"/>
          <w:lang w:eastAsia="ja-JP"/>
        </w:rPr>
        <w:t>。</w:t>
      </w:r>
    </w:p>
    <w:p w14:paraId="318AFA07" w14:textId="57C77DC3" w:rsidR="006B58A7" w:rsidRPr="006B58A7" w:rsidRDefault="001227C9" w:rsidP="001227C9">
      <w:pPr>
        <w:pStyle w:val="a3"/>
        <w:numPr>
          <w:ilvl w:val="0"/>
          <w:numId w:val="37"/>
        </w:numPr>
        <w:spacing w:before="13" w:line="295" w:lineRule="auto"/>
        <w:ind w:right="243"/>
        <w:rPr>
          <w:rFonts w:ascii="Century" w:eastAsiaTheme="minorEastAsia" w:hAnsi="Century"/>
          <w:lang w:eastAsia="ja-JP"/>
        </w:rPr>
      </w:pPr>
      <w:r>
        <w:rPr>
          <w:rFonts w:ascii="Century" w:eastAsiaTheme="minorEastAsia" w:hAnsi="Century" w:hint="eastAsia"/>
          <w:lang w:eastAsia="ja-JP"/>
        </w:rPr>
        <w:t>欧州森林破壊防止規則（</w:t>
      </w:r>
      <w:r w:rsidR="006B58A7" w:rsidRPr="006B58A7">
        <w:rPr>
          <w:rFonts w:ascii="Century" w:eastAsiaTheme="minorEastAsia" w:hAnsi="Century"/>
          <w:lang w:eastAsia="ja-JP"/>
        </w:rPr>
        <w:t>EUDR</w:t>
      </w:r>
      <w:r>
        <w:rPr>
          <w:rFonts w:ascii="Century" w:eastAsiaTheme="minorEastAsia" w:hAnsi="Century" w:hint="eastAsia"/>
          <w:lang w:eastAsia="ja-JP"/>
        </w:rPr>
        <w:t>）に関連する</w:t>
      </w:r>
      <w:r w:rsidR="006B58A7" w:rsidRPr="006B58A7">
        <w:rPr>
          <w:rFonts w:ascii="Century" w:eastAsiaTheme="minorEastAsia" w:hAnsi="Century" w:hint="eastAsia"/>
          <w:lang w:eastAsia="ja-JP"/>
        </w:rPr>
        <w:t>市場アクセスツールとして検証可能な森林被覆</w:t>
      </w:r>
      <w:r>
        <w:rPr>
          <w:rFonts w:ascii="Century" w:eastAsiaTheme="minorEastAsia" w:hAnsi="Century" w:hint="eastAsia"/>
          <w:lang w:eastAsia="ja-JP"/>
        </w:rPr>
        <w:t>情報。</w:t>
      </w:r>
    </w:p>
    <w:p w14:paraId="3BA6B6E2" w14:textId="1B30807A" w:rsidR="006B58A7" w:rsidRPr="006B58A7" w:rsidRDefault="006B58A7" w:rsidP="001227C9">
      <w:pPr>
        <w:pStyle w:val="a3"/>
        <w:numPr>
          <w:ilvl w:val="0"/>
          <w:numId w:val="37"/>
        </w:numPr>
        <w:spacing w:before="13" w:line="295" w:lineRule="auto"/>
        <w:ind w:right="243"/>
        <w:rPr>
          <w:rFonts w:ascii="Century" w:eastAsiaTheme="minorEastAsia" w:hAnsi="Century"/>
          <w:lang w:eastAsia="ja-JP"/>
        </w:rPr>
      </w:pPr>
      <w:r w:rsidRPr="006B58A7">
        <w:rPr>
          <w:rFonts w:ascii="Century" w:eastAsiaTheme="minorEastAsia" w:hAnsi="Century" w:hint="eastAsia"/>
          <w:lang w:eastAsia="ja-JP"/>
        </w:rPr>
        <w:t>紛争鉱物地域における福祉向上を促進するための、供給場所の予約・請求システム</w:t>
      </w:r>
      <w:r w:rsidR="001227C9">
        <w:rPr>
          <w:rFonts w:ascii="Century" w:eastAsiaTheme="minorEastAsia" w:hAnsi="Century" w:hint="eastAsia"/>
          <w:lang w:eastAsia="ja-JP"/>
        </w:rPr>
        <w:t>。</w:t>
      </w:r>
    </w:p>
    <w:p w14:paraId="05C2DBDD" w14:textId="2EBD8B9B" w:rsidR="006B58A7" w:rsidRPr="006B58A7" w:rsidRDefault="006B58A7" w:rsidP="001227C9">
      <w:pPr>
        <w:pStyle w:val="a3"/>
        <w:numPr>
          <w:ilvl w:val="0"/>
          <w:numId w:val="37"/>
        </w:numPr>
        <w:spacing w:before="13" w:line="295" w:lineRule="auto"/>
        <w:ind w:right="243"/>
        <w:rPr>
          <w:rFonts w:ascii="Century" w:eastAsiaTheme="minorEastAsia" w:hAnsi="Century"/>
          <w:lang w:eastAsia="ja-JP"/>
        </w:rPr>
      </w:pPr>
      <w:r w:rsidRPr="006B58A7">
        <w:rPr>
          <w:rFonts w:ascii="Century" w:eastAsiaTheme="minorEastAsia" w:hAnsi="Century" w:hint="eastAsia"/>
          <w:lang w:eastAsia="ja-JP"/>
        </w:rPr>
        <w:t>国境当局が貿易文書にアクセス・検証できる場合の、国境手続きの合理化（安全な貿易レーン）。</w:t>
      </w:r>
    </w:p>
    <w:p w14:paraId="63948AB5" w14:textId="38A1977F" w:rsidR="001227C9" w:rsidRDefault="006B58A7" w:rsidP="001227C9">
      <w:pPr>
        <w:pStyle w:val="a3"/>
        <w:numPr>
          <w:ilvl w:val="0"/>
          <w:numId w:val="37"/>
        </w:numPr>
        <w:spacing w:before="13" w:line="295" w:lineRule="auto"/>
        <w:ind w:right="243"/>
        <w:rPr>
          <w:rFonts w:ascii="Century" w:eastAsiaTheme="minorEastAsia" w:hAnsi="Century"/>
          <w:lang w:eastAsia="ja-JP"/>
        </w:rPr>
      </w:pPr>
      <w:r w:rsidRPr="006B58A7">
        <w:rPr>
          <w:rFonts w:ascii="Century" w:eastAsiaTheme="minorEastAsia" w:hAnsi="Century" w:hint="eastAsia"/>
          <w:lang w:eastAsia="ja-JP"/>
        </w:rPr>
        <w:t>自動化されたデューデリジェンスによる中小企業の貿易金融へのアクセス向上。</w:t>
      </w:r>
    </w:p>
    <w:p w14:paraId="45BCE114" w14:textId="77777777" w:rsidR="006B58A7" w:rsidRDefault="006B58A7" w:rsidP="00076C56">
      <w:pPr>
        <w:pStyle w:val="a3"/>
        <w:spacing w:before="13" w:line="295" w:lineRule="auto"/>
        <w:ind w:right="243"/>
        <w:rPr>
          <w:rFonts w:ascii="Century" w:eastAsiaTheme="minorEastAsia" w:hAnsi="Century"/>
          <w:lang w:eastAsia="ja-JP"/>
        </w:rPr>
      </w:pPr>
    </w:p>
    <w:p w14:paraId="020835A8" w14:textId="61A68A04" w:rsidR="00076C56" w:rsidRDefault="00076C56" w:rsidP="00076C56">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４．２　国連透明性プロトコル（</w:t>
      </w:r>
      <w:r>
        <w:rPr>
          <w:rFonts w:ascii="Century" w:eastAsiaTheme="minorEastAsia" w:hAnsi="Century" w:hint="eastAsia"/>
          <w:lang w:eastAsia="ja-JP"/>
        </w:rPr>
        <w:t>UNTP</w:t>
      </w:r>
      <w:r>
        <w:rPr>
          <w:rFonts w:ascii="Century" w:eastAsiaTheme="minorEastAsia" w:hAnsi="Century" w:hint="eastAsia"/>
          <w:lang w:eastAsia="ja-JP"/>
        </w:rPr>
        <w:t>）</w:t>
      </w:r>
    </w:p>
    <w:p w14:paraId="78682900" w14:textId="369E6391" w:rsidR="001227C9" w:rsidRDefault="001227C9" w:rsidP="00461DE6">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 xml:space="preserve">　</w:t>
      </w:r>
      <w:r w:rsidRPr="001227C9">
        <w:rPr>
          <w:rFonts w:ascii="Century" w:eastAsiaTheme="minorEastAsia" w:hAnsi="Century" w:hint="eastAsia"/>
          <w:lang w:eastAsia="ja-JP"/>
        </w:rPr>
        <w:t>国連透明性プロトコル（</w:t>
      </w:r>
      <w:r w:rsidR="003E24D6">
        <w:rPr>
          <w:rFonts w:ascii="Century" w:eastAsiaTheme="minorEastAsia" w:hAnsi="Century" w:hint="eastAsia"/>
          <w:lang w:eastAsia="ja-JP"/>
        </w:rPr>
        <w:t>UNTP</w:t>
      </w:r>
      <w:r w:rsidR="003E24D6">
        <w:rPr>
          <w:rFonts w:ascii="Century" w:eastAsiaTheme="minorEastAsia" w:hAnsi="Century" w:hint="eastAsia"/>
          <w:lang w:eastAsia="ja-JP"/>
        </w:rPr>
        <w:t>）</w:t>
      </w:r>
      <w:r w:rsidRPr="001227C9">
        <w:rPr>
          <w:rFonts w:ascii="Century" w:eastAsiaTheme="minorEastAsia" w:hAnsi="Century" w:hint="eastAsia"/>
          <w:lang w:eastAsia="ja-JP"/>
        </w:rPr>
        <w:t>に焦点を当て、その仕組みの概要と、導入の最新情報</w:t>
      </w:r>
      <w:r w:rsidR="003E24D6">
        <w:rPr>
          <w:rFonts w:ascii="Century" w:eastAsiaTheme="minorEastAsia" w:hAnsi="Century" w:hint="eastAsia"/>
          <w:lang w:eastAsia="ja-JP"/>
        </w:rPr>
        <w:t>が紹介された</w:t>
      </w:r>
      <w:r w:rsidRPr="001227C9">
        <w:rPr>
          <w:rFonts w:ascii="Century" w:eastAsiaTheme="minorEastAsia" w:hAnsi="Century" w:hint="eastAsia"/>
          <w:lang w:eastAsia="ja-JP"/>
        </w:rPr>
        <w:t>。</w:t>
      </w:r>
    </w:p>
    <w:p w14:paraId="472457FD" w14:textId="272C8C93" w:rsidR="00536DBE" w:rsidRDefault="00536DBE" w:rsidP="00536DBE">
      <w:pPr>
        <w:pStyle w:val="a3"/>
        <w:numPr>
          <w:ilvl w:val="0"/>
          <w:numId w:val="38"/>
        </w:numPr>
        <w:spacing w:before="13" w:line="295" w:lineRule="auto"/>
        <w:ind w:right="243"/>
        <w:rPr>
          <w:rFonts w:ascii="Century" w:eastAsiaTheme="minorEastAsia" w:hAnsi="Century"/>
          <w:lang w:eastAsia="ja-JP"/>
        </w:rPr>
      </w:pPr>
      <w:r>
        <w:rPr>
          <w:rFonts w:ascii="Century" w:eastAsiaTheme="minorEastAsia" w:hAnsi="Century" w:hint="eastAsia"/>
          <w:lang w:eastAsia="ja-JP"/>
        </w:rPr>
        <w:t>UNTP</w:t>
      </w:r>
      <w:r>
        <w:rPr>
          <w:rFonts w:ascii="Century" w:eastAsiaTheme="minorEastAsia" w:hAnsi="Century" w:hint="eastAsia"/>
          <w:lang w:eastAsia="ja-JP"/>
        </w:rPr>
        <w:t>によるバッテリーのトレーサビリティに関して</w:t>
      </w:r>
      <w:r w:rsidR="00CF26B2">
        <w:rPr>
          <w:rFonts w:ascii="Century" w:eastAsiaTheme="minorEastAsia" w:hAnsi="Century" w:hint="eastAsia"/>
          <w:lang w:eastAsia="ja-JP"/>
        </w:rPr>
        <w:t>、</w:t>
      </w:r>
      <w:r w:rsidRPr="003E24D6">
        <w:rPr>
          <w:rFonts w:ascii="Century" w:eastAsiaTheme="minorEastAsia" w:hAnsi="Century" w:hint="eastAsia"/>
          <w:lang w:eastAsia="ja-JP"/>
        </w:rPr>
        <w:t>グローバルバッテリーアライアンス（</w:t>
      </w:r>
      <w:r w:rsidRPr="003E24D6">
        <w:rPr>
          <w:rFonts w:ascii="Century" w:eastAsiaTheme="minorEastAsia" w:hAnsi="Century"/>
          <w:lang w:eastAsia="ja-JP"/>
        </w:rPr>
        <w:t>GBA</w:t>
      </w:r>
      <w:r w:rsidRPr="003E24D6">
        <w:rPr>
          <w:rFonts w:ascii="Century" w:eastAsiaTheme="minorEastAsia" w:hAnsi="Century" w:hint="eastAsia"/>
          <w:lang w:eastAsia="ja-JP"/>
        </w:rPr>
        <w:t>）</w:t>
      </w:r>
      <w:r>
        <w:rPr>
          <w:rFonts w:ascii="Century" w:eastAsiaTheme="minorEastAsia" w:hAnsi="Century" w:hint="eastAsia"/>
          <w:lang w:eastAsia="ja-JP"/>
        </w:rPr>
        <w:t>と</w:t>
      </w:r>
      <w:r w:rsidR="00CF26B2">
        <w:rPr>
          <w:rFonts w:ascii="Century" w:eastAsiaTheme="minorEastAsia" w:hAnsi="Century" w:hint="eastAsia"/>
          <w:lang w:eastAsia="ja-JP"/>
        </w:rPr>
        <w:t>の</w:t>
      </w:r>
      <w:r>
        <w:rPr>
          <w:rFonts w:ascii="Century" w:eastAsiaTheme="minorEastAsia" w:hAnsi="Century" w:hint="eastAsia"/>
          <w:lang w:eastAsia="ja-JP"/>
        </w:rPr>
        <w:t>協業を進め</w:t>
      </w:r>
      <w:r w:rsidR="000720B5">
        <w:rPr>
          <w:rFonts w:ascii="Century" w:eastAsiaTheme="minorEastAsia" w:hAnsi="Century" w:hint="eastAsia"/>
          <w:lang w:eastAsia="ja-JP"/>
        </w:rPr>
        <w:t>られている</w:t>
      </w:r>
      <w:r>
        <w:rPr>
          <w:rFonts w:ascii="Century" w:eastAsiaTheme="minorEastAsia" w:hAnsi="Century" w:hint="eastAsia"/>
          <w:lang w:eastAsia="ja-JP"/>
        </w:rPr>
        <w:t>。</w:t>
      </w:r>
    </w:p>
    <w:p w14:paraId="5850639E" w14:textId="69BC5CAC" w:rsidR="00536DBE" w:rsidRDefault="00536DBE" w:rsidP="00536DBE">
      <w:pPr>
        <w:pStyle w:val="a3"/>
        <w:numPr>
          <w:ilvl w:val="0"/>
          <w:numId w:val="38"/>
        </w:numPr>
        <w:spacing w:before="13" w:line="295" w:lineRule="auto"/>
        <w:ind w:right="243"/>
        <w:rPr>
          <w:rFonts w:ascii="Century" w:eastAsiaTheme="minorEastAsia" w:hAnsi="Century"/>
          <w:lang w:eastAsia="ja-JP"/>
        </w:rPr>
      </w:pPr>
      <w:r>
        <w:rPr>
          <w:rFonts w:ascii="Century" w:eastAsiaTheme="minorEastAsia" w:hAnsi="Century" w:hint="eastAsia"/>
          <w:lang w:eastAsia="ja-JP"/>
        </w:rPr>
        <w:t>銅を含む</w:t>
      </w:r>
      <w:r>
        <w:rPr>
          <w:rFonts w:ascii="Century" w:eastAsiaTheme="minorEastAsia" w:hAnsi="Century" w:hint="eastAsia"/>
          <w:lang w:eastAsia="ja-JP"/>
        </w:rPr>
        <w:t>CRM</w:t>
      </w:r>
      <w:r>
        <w:rPr>
          <w:rFonts w:ascii="Century" w:eastAsiaTheme="minorEastAsia" w:hAnsi="Century" w:hint="eastAsia"/>
          <w:lang w:eastAsia="ja-JP"/>
        </w:rPr>
        <w:t>のトレーサビリティのため、</w:t>
      </w:r>
      <w:r>
        <w:rPr>
          <w:rFonts w:ascii="Century" w:eastAsiaTheme="minorEastAsia" w:hAnsi="Century" w:hint="eastAsia"/>
          <w:lang w:eastAsia="ja-JP"/>
        </w:rPr>
        <w:t>UNTP</w:t>
      </w:r>
      <w:r>
        <w:rPr>
          <w:rFonts w:ascii="Century" w:eastAsiaTheme="minorEastAsia" w:hAnsi="Century" w:hint="eastAsia"/>
          <w:lang w:eastAsia="ja-JP"/>
        </w:rPr>
        <w:t>の拡張</w:t>
      </w:r>
      <w:r w:rsidR="00CF26B2">
        <w:rPr>
          <w:rFonts w:ascii="Century" w:eastAsiaTheme="minorEastAsia" w:hAnsi="Century" w:hint="eastAsia"/>
          <w:lang w:eastAsia="ja-JP"/>
        </w:rPr>
        <w:t>が</w:t>
      </w:r>
      <w:r>
        <w:rPr>
          <w:rFonts w:ascii="Century" w:eastAsiaTheme="minorEastAsia" w:hAnsi="Century" w:hint="eastAsia"/>
          <w:lang w:eastAsia="ja-JP"/>
        </w:rPr>
        <w:t>計画</w:t>
      </w:r>
      <w:r w:rsidR="000720B5">
        <w:rPr>
          <w:rFonts w:ascii="Century" w:eastAsiaTheme="minorEastAsia" w:hAnsi="Century" w:hint="eastAsia"/>
          <w:lang w:eastAsia="ja-JP"/>
        </w:rPr>
        <w:t>されている</w:t>
      </w:r>
      <w:r>
        <w:rPr>
          <w:rFonts w:ascii="Century" w:eastAsiaTheme="minorEastAsia" w:hAnsi="Century" w:hint="eastAsia"/>
          <w:lang w:eastAsia="ja-JP"/>
        </w:rPr>
        <w:t>。</w:t>
      </w:r>
    </w:p>
    <w:p w14:paraId="124A4ACD" w14:textId="77777777" w:rsidR="00536DBE" w:rsidRPr="00536DBE" w:rsidRDefault="00536DBE" w:rsidP="00461DE6">
      <w:pPr>
        <w:pStyle w:val="a3"/>
        <w:spacing w:before="13" w:line="295" w:lineRule="auto"/>
        <w:ind w:right="243"/>
        <w:rPr>
          <w:rFonts w:ascii="Century" w:eastAsiaTheme="minorEastAsia" w:hAnsi="Century"/>
          <w:lang w:eastAsia="ja-JP"/>
        </w:rPr>
      </w:pPr>
    </w:p>
    <w:p w14:paraId="7B1A474A" w14:textId="0C1621FB" w:rsidR="00130867" w:rsidRDefault="001227C9" w:rsidP="003E24D6">
      <w:pPr>
        <w:pStyle w:val="a3"/>
        <w:spacing w:before="13" w:line="295" w:lineRule="auto"/>
        <w:ind w:right="243" w:firstLineChars="100" w:firstLine="210"/>
        <w:rPr>
          <w:rFonts w:ascii="Century" w:eastAsiaTheme="minorEastAsia" w:hAnsi="Century"/>
          <w:lang w:eastAsia="ja-JP"/>
        </w:rPr>
      </w:pPr>
      <w:r w:rsidRPr="001227C9">
        <w:rPr>
          <w:rFonts w:ascii="Century" w:eastAsiaTheme="minorEastAsia" w:hAnsi="Century" w:hint="eastAsia"/>
          <w:lang w:eastAsia="ja-JP"/>
        </w:rPr>
        <w:t>バリューチェーンにおける持続可能性とレジリエンス（回復力）への懸念が高まっており、多くの先進国で新たな規制が導入され、</w:t>
      </w:r>
      <w:r w:rsidR="00CF26B2">
        <w:rPr>
          <w:rFonts w:ascii="Century" w:eastAsiaTheme="minorEastAsia" w:hAnsi="Century" w:hint="eastAsia"/>
          <w:lang w:eastAsia="ja-JP"/>
        </w:rPr>
        <w:t>それは</w:t>
      </w:r>
      <w:r w:rsidR="00CF26B2" w:rsidRPr="001227C9">
        <w:rPr>
          <w:rFonts w:ascii="Century" w:eastAsiaTheme="minorEastAsia" w:hAnsi="Century" w:hint="eastAsia"/>
          <w:lang w:eastAsia="ja-JP"/>
        </w:rPr>
        <w:t>非関税貿易障壁</w:t>
      </w:r>
      <w:r w:rsidR="00CF26B2">
        <w:rPr>
          <w:rFonts w:ascii="Century" w:eastAsiaTheme="minorEastAsia" w:hAnsi="Century" w:hint="eastAsia"/>
          <w:lang w:eastAsia="ja-JP"/>
        </w:rPr>
        <w:t>の一つともなっている</w:t>
      </w:r>
      <w:r w:rsidRPr="001227C9">
        <w:rPr>
          <w:rFonts w:ascii="Century" w:eastAsiaTheme="minorEastAsia" w:hAnsi="Century" w:hint="eastAsia"/>
          <w:lang w:eastAsia="ja-JP"/>
        </w:rPr>
        <w:t>。大手ブランドの多くは、気候関連情報開示など、</w:t>
      </w:r>
      <w:r w:rsidRPr="001227C9">
        <w:rPr>
          <w:rFonts w:ascii="Century" w:eastAsiaTheme="minorEastAsia" w:hAnsi="Century"/>
          <w:lang w:eastAsia="ja-JP"/>
        </w:rPr>
        <w:t>ESG</w:t>
      </w:r>
      <w:r w:rsidRPr="001227C9">
        <w:rPr>
          <w:rFonts w:ascii="Century" w:eastAsiaTheme="minorEastAsia" w:hAnsi="Century" w:hint="eastAsia"/>
          <w:lang w:eastAsia="ja-JP"/>
        </w:rPr>
        <w:t>関連の年次規制報告も求められてい</w:t>
      </w:r>
      <w:r w:rsidR="003E24D6">
        <w:rPr>
          <w:rFonts w:ascii="Century" w:eastAsiaTheme="minorEastAsia" w:hAnsi="Century" w:hint="eastAsia"/>
          <w:lang w:eastAsia="ja-JP"/>
        </w:rPr>
        <w:t>る</w:t>
      </w:r>
      <w:r w:rsidRPr="001227C9">
        <w:rPr>
          <w:rFonts w:ascii="Century" w:eastAsiaTheme="minorEastAsia" w:hAnsi="Century" w:hint="eastAsia"/>
          <w:lang w:eastAsia="ja-JP"/>
        </w:rPr>
        <w:t>。</w:t>
      </w:r>
      <w:r w:rsidR="00CF26B2">
        <w:rPr>
          <w:rFonts w:ascii="Century" w:eastAsiaTheme="minorEastAsia" w:hAnsi="Century" w:hint="eastAsia"/>
          <w:lang w:eastAsia="ja-JP"/>
        </w:rPr>
        <w:t>それら</w:t>
      </w:r>
      <w:r w:rsidRPr="001227C9">
        <w:rPr>
          <w:rFonts w:ascii="Century" w:eastAsiaTheme="minorEastAsia" w:hAnsi="Century" w:hint="eastAsia"/>
          <w:lang w:eastAsia="ja-JP"/>
        </w:rPr>
        <w:t>規制遵守義務と市場の期待の両方を満たすには、バリューチェーンにおけるトレーサビリティと透明性を、大規模かつ低コストで実現することが不可欠で</w:t>
      </w:r>
      <w:r w:rsidR="003E24D6">
        <w:rPr>
          <w:rFonts w:ascii="Century" w:eastAsiaTheme="minorEastAsia" w:hAnsi="Century" w:hint="eastAsia"/>
          <w:lang w:eastAsia="ja-JP"/>
        </w:rPr>
        <w:t>ある</w:t>
      </w:r>
      <w:r w:rsidRPr="001227C9">
        <w:rPr>
          <w:rFonts w:ascii="Century" w:eastAsiaTheme="minorEastAsia" w:hAnsi="Century" w:hint="eastAsia"/>
          <w:lang w:eastAsia="ja-JP"/>
        </w:rPr>
        <w:t>。</w:t>
      </w:r>
    </w:p>
    <w:p w14:paraId="3D4C9350" w14:textId="751EEE4F" w:rsidR="003E24D6" w:rsidRPr="00076C56" w:rsidRDefault="003E24D6" w:rsidP="003E24D6">
      <w:pPr>
        <w:pStyle w:val="a3"/>
        <w:spacing w:before="13" w:line="295" w:lineRule="auto"/>
        <w:ind w:right="243" w:firstLineChars="100" w:firstLine="210"/>
        <w:rPr>
          <w:rFonts w:ascii="Century" w:eastAsiaTheme="minorEastAsia" w:hAnsi="Century"/>
          <w:lang w:eastAsia="ja-JP"/>
        </w:rPr>
      </w:pPr>
      <w:r>
        <w:rPr>
          <w:rFonts w:ascii="Century" w:eastAsiaTheme="minorEastAsia" w:hAnsi="Century" w:hint="eastAsia"/>
          <w:lang w:eastAsia="ja-JP"/>
        </w:rPr>
        <w:t>国連</w:t>
      </w:r>
      <w:r w:rsidR="00536DBE">
        <w:rPr>
          <w:rFonts w:ascii="Century" w:eastAsiaTheme="minorEastAsia" w:hAnsi="Century" w:hint="eastAsia"/>
          <w:lang w:eastAsia="ja-JP"/>
        </w:rPr>
        <w:t>欧州経済委員会（</w:t>
      </w:r>
      <w:r w:rsidR="00536DBE">
        <w:rPr>
          <w:rFonts w:ascii="Century" w:eastAsiaTheme="minorEastAsia" w:hAnsi="Century" w:hint="eastAsia"/>
          <w:lang w:eastAsia="ja-JP"/>
        </w:rPr>
        <w:t>UNECE</w:t>
      </w:r>
      <w:r w:rsidR="00536DBE">
        <w:rPr>
          <w:rFonts w:ascii="Century" w:eastAsiaTheme="minorEastAsia" w:hAnsi="Century" w:hint="eastAsia"/>
          <w:lang w:eastAsia="ja-JP"/>
        </w:rPr>
        <w:t>）</w:t>
      </w:r>
      <w:r>
        <w:rPr>
          <w:rFonts w:ascii="Century" w:eastAsiaTheme="minorEastAsia" w:hAnsi="Century" w:hint="eastAsia"/>
          <w:lang w:eastAsia="ja-JP"/>
        </w:rPr>
        <w:t>では、</w:t>
      </w:r>
      <w:r>
        <w:rPr>
          <w:rFonts w:ascii="Century" w:eastAsiaTheme="minorEastAsia" w:hAnsi="Century" w:hint="eastAsia"/>
          <w:lang w:eastAsia="ja-JP"/>
        </w:rPr>
        <w:t>UNTP</w:t>
      </w:r>
      <w:r>
        <w:rPr>
          <w:rFonts w:ascii="Century" w:eastAsiaTheme="minorEastAsia" w:hAnsi="Century" w:hint="eastAsia"/>
          <w:lang w:eastAsia="ja-JP"/>
        </w:rPr>
        <w:t>の</w:t>
      </w:r>
      <w:r w:rsidR="00536DBE">
        <w:rPr>
          <w:rFonts w:ascii="Century" w:eastAsiaTheme="minorEastAsia" w:hAnsi="Century" w:hint="eastAsia"/>
          <w:lang w:eastAsia="ja-JP"/>
        </w:rPr>
        <w:t>採用と適合性のための作業グループが結成されている。</w:t>
      </w:r>
    </w:p>
    <w:sectPr w:rsidR="003E24D6" w:rsidRPr="00076C56">
      <w:headerReference w:type="default" r:id="rId12"/>
      <w:footerReference w:type="default" r:id="rId13"/>
      <w:pgSz w:w="11910" w:h="16840"/>
      <w:pgMar w:top="1580" w:right="1480" w:bottom="1440" w:left="1600" w:header="0" w:footer="12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21C78" w14:textId="77777777" w:rsidR="00897D5E" w:rsidRDefault="00897D5E">
      <w:r>
        <w:separator/>
      </w:r>
    </w:p>
  </w:endnote>
  <w:endnote w:type="continuationSeparator" w:id="0">
    <w:p w14:paraId="7D1D0299" w14:textId="77777777" w:rsidR="00897D5E" w:rsidRDefault="00897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Microsoft JhengHei">
    <w:altName w:val="Microsoft Jheng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3CC05" w14:textId="3412D425" w:rsidR="00265F9E" w:rsidRDefault="001B0506">
    <w:pPr>
      <w:pStyle w:val="a3"/>
      <w:spacing w:line="14" w:lineRule="auto"/>
      <w:rPr>
        <w:sz w:val="20"/>
      </w:rPr>
    </w:pPr>
    <w:r>
      <w:rPr>
        <w:noProof/>
      </w:rPr>
      <mc:AlternateContent>
        <mc:Choice Requires="wps">
          <w:drawing>
            <wp:anchor distT="0" distB="0" distL="114300" distR="114300" simplePos="0" relativeHeight="251657728" behindDoc="1" locked="0" layoutInCell="1" allowOverlap="1" wp14:anchorId="364F5FC4" wp14:editId="52196A60">
              <wp:simplePos x="0" y="0"/>
              <wp:positionH relativeFrom="page">
                <wp:posOffset>3691890</wp:posOffset>
              </wp:positionH>
              <wp:positionV relativeFrom="page">
                <wp:posOffset>9759315</wp:posOffset>
              </wp:positionV>
              <wp:extent cx="179070" cy="165735"/>
              <wp:effectExtent l="0" t="0" r="0" b="0"/>
              <wp:wrapNone/>
              <wp:docPr id="173850176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9BA05" w14:textId="77777777" w:rsidR="00265F9E" w:rsidRDefault="00265F9E">
                          <w:pPr>
                            <w:spacing w:before="10"/>
                            <w:ind w:left="40"/>
                            <w:rPr>
                              <w:sz w:val="20"/>
                            </w:rPr>
                          </w:pPr>
                          <w:r>
                            <w:fldChar w:fldCharType="begin"/>
                          </w:r>
                          <w:r>
                            <w:rPr>
                              <w:sz w:val="20"/>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4F5FC4" id="_x0000_t202" coordsize="21600,21600" o:spt="202" path="m,l,21600r21600,l21600,xe">
              <v:stroke joinstyle="miter"/>
              <v:path gradientshapeok="t" o:connecttype="rect"/>
            </v:shapetype>
            <v:shape id="Text Box 1" o:spid="_x0000_s1026" type="#_x0000_t202" style="position:absolute;margin-left:290.7pt;margin-top:768.45pt;width:14.1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" filled="f" stroked="f">
              <v:textbox inset="0,0,0,0">
                <w:txbxContent>
                  <w:p w14:paraId="1E19BA05" w14:textId="77777777" w:rsidR="00265F9E" w:rsidRDefault="00265F9E">
                    <w:pPr>
                      <w:spacing w:before="10"/>
                      <w:ind w:left="40"/>
                      <w:rPr>
                        <w:sz w:val="20"/>
                      </w:rPr>
                    </w:pPr>
                    <w:r>
                      <w:fldChar w:fldCharType="begin"/>
                    </w:r>
                    <w:r>
                      <w:rPr>
                        <w:sz w:val="20"/>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EB318" w14:textId="77777777" w:rsidR="00897D5E" w:rsidRDefault="00897D5E">
      <w:r>
        <w:separator/>
      </w:r>
    </w:p>
  </w:footnote>
  <w:footnote w:type="continuationSeparator" w:id="0">
    <w:p w14:paraId="75040610" w14:textId="77777777" w:rsidR="00897D5E" w:rsidRDefault="00897D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8752352"/>
      <w:placeholder>
        <w:docPart w:val="F1DE063CCD304A3295E3F3316E5FE9F5"/>
      </w:placeholder>
      <w:temporary/>
      <w:showingPlcHdr/>
      <w15:appearance w15:val="hidden"/>
    </w:sdtPr>
    <w:sdtEndPr/>
    <w:sdtContent>
      <w:p w14:paraId="1E95EB3D" w14:textId="77777777" w:rsidR="00AA4203" w:rsidRDefault="00AA4203">
        <w:pPr>
          <w:pStyle w:val="a7"/>
        </w:pPr>
        <w:r>
          <w:rPr>
            <w:lang w:val="ja-JP" w:eastAsia="ja-JP"/>
          </w:rPr>
          <w:t>[</w:t>
        </w:r>
        <w:r>
          <w:rPr>
            <w:rFonts w:ascii="ＭＳ 明朝" w:eastAsia="ＭＳ 明朝" w:hAnsi="ＭＳ 明朝" w:cs="ＭＳ 明朝" w:hint="eastAsia"/>
            <w:lang w:val="ja-JP" w:eastAsia="ja-JP"/>
          </w:rPr>
          <w:t>ここに入力</w:t>
        </w:r>
        <w:r>
          <w:rPr>
            <w:lang w:val="ja-JP" w:eastAsia="ja-JP"/>
          </w:rPr>
          <w: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03A3A"/>
    <w:multiLevelType w:val="hybridMultilevel"/>
    <w:tmpl w:val="0B9499DC"/>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7C413E2"/>
    <w:multiLevelType w:val="hybridMultilevel"/>
    <w:tmpl w:val="E6585FD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7F579CF"/>
    <w:multiLevelType w:val="hybridMultilevel"/>
    <w:tmpl w:val="A9B89D22"/>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D3273ED"/>
    <w:multiLevelType w:val="hybridMultilevel"/>
    <w:tmpl w:val="15826A66"/>
    <w:lvl w:ilvl="0" w:tplc="8666593A">
      <w:start w:val="1"/>
      <w:numFmt w:val="bullet"/>
      <w:lvlText w:val=""/>
      <w:lvlJc w:val="left"/>
      <w:pPr>
        <w:ind w:left="1090" w:hanging="440"/>
      </w:pPr>
      <w:rPr>
        <w:rFonts w:ascii="Wingdings" w:hAnsi="Wingdings" w:hint="default"/>
      </w:rPr>
    </w:lvl>
    <w:lvl w:ilvl="1" w:tplc="0409000B" w:tentative="1">
      <w:start w:val="1"/>
      <w:numFmt w:val="bullet"/>
      <w:lvlText w:val=""/>
      <w:lvlJc w:val="left"/>
      <w:pPr>
        <w:ind w:left="1530" w:hanging="440"/>
      </w:pPr>
      <w:rPr>
        <w:rFonts w:ascii="Wingdings" w:hAnsi="Wingdings" w:hint="default"/>
      </w:rPr>
    </w:lvl>
    <w:lvl w:ilvl="2" w:tplc="0409000D" w:tentative="1">
      <w:start w:val="1"/>
      <w:numFmt w:val="bullet"/>
      <w:lvlText w:val=""/>
      <w:lvlJc w:val="left"/>
      <w:pPr>
        <w:ind w:left="1970" w:hanging="440"/>
      </w:pPr>
      <w:rPr>
        <w:rFonts w:ascii="Wingdings" w:hAnsi="Wingdings" w:hint="default"/>
      </w:rPr>
    </w:lvl>
    <w:lvl w:ilvl="3" w:tplc="04090001" w:tentative="1">
      <w:start w:val="1"/>
      <w:numFmt w:val="bullet"/>
      <w:lvlText w:val=""/>
      <w:lvlJc w:val="left"/>
      <w:pPr>
        <w:ind w:left="2410" w:hanging="440"/>
      </w:pPr>
      <w:rPr>
        <w:rFonts w:ascii="Wingdings" w:hAnsi="Wingdings" w:hint="default"/>
      </w:rPr>
    </w:lvl>
    <w:lvl w:ilvl="4" w:tplc="0409000B" w:tentative="1">
      <w:start w:val="1"/>
      <w:numFmt w:val="bullet"/>
      <w:lvlText w:val=""/>
      <w:lvlJc w:val="left"/>
      <w:pPr>
        <w:ind w:left="2850" w:hanging="440"/>
      </w:pPr>
      <w:rPr>
        <w:rFonts w:ascii="Wingdings" w:hAnsi="Wingdings" w:hint="default"/>
      </w:rPr>
    </w:lvl>
    <w:lvl w:ilvl="5" w:tplc="0409000D" w:tentative="1">
      <w:start w:val="1"/>
      <w:numFmt w:val="bullet"/>
      <w:lvlText w:val=""/>
      <w:lvlJc w:val="left"/>
      <w:pPr>
        <w:ind w:left="3290" w:hanging="440"/>
      </w:pPr>
      <w:rPr>
        <w:rFonts w:ascii="Wingdings" w:hAnsi="Wingdings" w:hint="default"/>
      </w:rPr>
    </w:lvl>
    <w:lvl w:ilvl="6" w:tplc="04090001" w:tentative="1">
      <w:start w:val="1"/>
      <w:numFmt w:val="bullet"/>
      <w:lvlText w:val=""/>
      <w:lvlJc w:val="left"/>
      <w:pPr>
        <w:ind w:left="3730" w:hanging="440"/>
      </w:pPr>
      <w:rPr>
        <w:rFonts w:ascii="Wingdings" w:hAnsi="Wingdings" w:hint="default"/>
      </w:rPr>
    </w:lvl>
    <w:lvl w:ilvl="7" w:tplc="0409000B" w:tentative="1">
      <w:start w:val="1"/>
      <w:numFmt w:val="bullet"/>
      <w:lvlText w:val=""/>
      <w:lvlJc w:val="left"/>
      <w:pPr>
        <w:ind w:left="4170" w:hanging="440"/>
      </w:pPr>
      <w:rPr>
        <w:rFonts w:ascii="Wingdings" w:hAnsi="Wingdings" w:hint="default"/>
      </w:rPr>
    </w:lvl>
    <w:lvl w:ilvl="8" w:tplc="0409000D" w:tentative="1">
      <w:start w:val="1"/>
      <w:numFmt w:val="bullet"/>
      <w:lvlText w:val=""/>
      <w:lvlJc w:val="left"/>
      <w:pPr>
        <w:ind w:left="4610" w:hanging="440"/>
      </w:pPr>
      <w:rPr>
        <w:rFonts w:ascii="Wingdings" w:hAnsi="Wingdings" w:hint="default"/>
      </w:rPr>
    </w:lvl>
  </w:abstractNum>
  <w:abstractNum w:abstractNumId="4" w15:restartNumberingAfterBreak="0">
    <w:nsid w:val="13DC03F0"/>
    <w:multiLevelType w:val="hybridMultilevel"/>
    <w:tmpl w:val="FBDE2824"/>
    <w:lvl w:ilvl="0" w:tplc="02A6D4D2">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7F82A38"/>
    <w:multiLevelType w:val="hybridMultilevel"/>
    <w:tmpl w:val="E4BEFB5C"/>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18D96E4F"/>
    <w:multiLevelType w:val="hybridMultilevel"/>
    <w:tmpl w:val="21DEB6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19254483"/>
    <w:multiLevelType w:val="hybridMultilevel"/>
    <w:tmpl w:val="3BE08352"/>
    <w:lvl w:ilvl="0" w:tplc="8666593A">
      <w:start w:val="1"/>
      <w:numFmt w:val="bullet"/>
      <w:lvlText w:val=""/>
      <w:lvlJc w:val="left"/>
      <w:pPr>
        <w:ind w:left="1090" w:hanging="440"/>
      </w:pPr>
      <w:rPr>
        <w:rFonts w:ascii="Wingdings" w:hAnsi="Wingdings" w:hint="default"/>
      </w:rPr>
    </w:lvl>
    <w:lvl w:ilvl="1" w:tplc="0409000B" w:tentative="1">
      <w:start w:val="1"/>
      <w:numFmt w:val="bullet"/>
      <w:lvlText w:val=""/>
      <w:lvlJc w:val="left"/>
      <w:pPr>
        <w:ind w:left="1530" w:hanging="440"/>
      </w:pPr>
      <w:rPr>
        <w:rFonts w:ascii="Wingdings" w:hAnsi="Wingdings" w:hint="default"/>
      </w:rPr>
    </w:lvl>
    <w:lvl w:ilvl="2" w:tplc="0409000D" w:tentative="1">
      <w:start w:val="1"/>
      <w:numFmt w:val="bullet"/>
      <w:lvlText w:val=""/>
      <w:lvlJc w:val="left"/>
      <w:pPr>
        <w:ind w:left="1970" w:hanging="440"/>
      </w:pPr>
      <w:rPr>
        <w:rFonts w:ascii="Wingdings" w:hAnsi="Wingdings" w:hint="default"/>
      </w:rPr>
    </w:lvl>
    <w:lvl w:ilvl="3" w:tplc="04090001" w:tentative="1">
      <w:start w:val="1"/>
      <w:numFmt w:val="bullet"/>
      <w:lvlText w:val=""/>
      <w:lvlJc w:val="left"/>
      <w:pPr>
        <w:ind w:left="2410" w:hanging="440"/>
      </w:pPr>
      <w:rPr>
        <w:rFonts w:ascii="Wingdings" w:hAnsi="Wingdings" w:hint="default"/>
      </w:rPr>
    </w:lvl>
    <w:lvl w:ilvl="4" w:tplc="0409000B" w:tentative="1">
      <w:start w:val="1"/>
      <w:numFmt w:val="bullet"/>
      <w:lvlText w:val=""/>
      <w:lvlJc w:val="left"/>
      <w:pPr>
        <w:ind w:left="2850" w:hanging="440"/>
      </w:pPr>
      <w:rPr>
        <w:rFonts w:ascii="Wingdings" w:hAnsi="Wingdings" w:hint="default"/>
      </w:rPr>
    </w:lvl>
    <w:lvl w:ilvl="5" w:tplc="0409000D" w:tentative="1">
      <w:start w:val="1"/>
      <w:numFmt w:val="bullet"/>
      <w:lvlText w:val=""/>
      <w:lvlJc w:val="left"/>
      <w:pPr>
        <w:ind w:left="3290" w:hanging="440"/>
      </w:pPr>
      <w:rPr>
        <w:rFonts w:ascii="Wingdings" w:hAnsi="Wingdings" w:hint="default"/>
      </w:rPr>
    </w:lvl>
    <w:lvl w:ilvl="6" w:tplc="04090001" w:tentative="1">
      <w:start w:val="1"/>
      <w:numFmt w:val="bullet"/>
      <w:lvlText w:val=""/>
      <w:lvlJc w:val="left"/>
      <w:pPr>
        <w:ind w:left="3730" w:hanging="440"/>
      </w:pPr>
      <w:rPr>
        <w:rFonts w:ascii="Wingdings" w:hAnsi="Wingdings" w:hint="default"/>
      </w:rPr>
    </w:lvl>
    <w:lvl w:ilvl="7" w:tplc="0409000B" w:tentative="1">
      <w:start w:val="1"/>
      <w:numFmt w:val="bullet"/>
      <w:lvlText w:val=""/>
      <w:lvlJc w:val="left"/>
      <w:pPr>
        <w:ind w:left="4170" w:hanging="440"/>
      </w:pPr>
      <w:rPr>
        <w:rFonts w:ascii="Wingdings" w:hAnsi="Wingdings" w:hint="default"/>
      </w:rPr>
    </w:lvl>
    <w:lvl w:ilvl="8" w:tplc="0409000D" w:tentative="1">
      <w:start w:val="1"/>
      <w:numFmt w:val="bullet"/>
      <w:lvlText w:val=""/>
      <w:lvlJc w:val="left"/>
      <w:pPr>
        <w:ind w:left="4610" w:hanging="440"/>
      </w:pPr>
      <w:rPr>
        <w:rFonts w:ascii="Wingdings" w:hAnsi="Wingdings" w:hint="default"/>
      </w:rPr>
    </w:lvl>
  </w:abstractNum>
  <w:abstractNum w:abstractNumId="8" w15:restartNumberingAfterBreak="0">
    <w:nsid w:val="1D81034D"/>
    <w:multiLevelType w:val="hybridMultilevel"/>
    <w:tmpl w:val="BC5CA418"/>
    <w:lvl w:ilvl="0" w:tplc="8666593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2BD55818"/>
    <w:multiLevelType w:val="hybridMultilevel"/>
    <w:tmpl w:val="A4E6952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2D0D7FAC"/>
    <w:multiLevelType w:val="hybridMultilevel"/>
    <w:tmpl w:val="84DECB7A"/>
    <w:lvl w:ilvl="0" w:tplc="8666593A">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1" w15:restartNumberingAfterBreak="0">
    <w:nsid w:val="2D641565"/>
    <w:multiLevelType w:val="hybridMultilevel"/>
    <w:tmpl w:val="F7F2A952"/>
    <w:lvl w:ilvl="0" w:tplc="8666593A">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2" w15:restartNumberingAfterBreak="0">
    <w:nsid w:val="3B196F43"/>
    <w:multiLevelType w:val="hybridMultilevel"/>
    <w:tmpl w:val="5354501C"/>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3F0B41EF"/>
    <w:multiLevelType w:val="hybridMultilevel"/>
    <w:tmpl w:val="64767EEE"/>
    <w:lvl w:ilvl="0" w:tplc="0409000B">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3F7663F7"/>
    <w:multiLevelType w:val="hybridMultilevel"/>
    <w:tmpl w:val="9B56B4DC"/>
    <w:lvl w:ilvl="0" w:tplc="8666593A">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5" w15:restartNumberingAfterBreak="0">
    <w:nsid w:val="43B23942"/>
    <w:multiLevelType w:val="hybridMultilevel"/>
    <w:tmpl w:val="D3C236AE"/>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6" w15:restartNumberingAfterBreak="0">
    <w:nsid w:val="4A654175"/>
    <w:multiLevelType w:val="hybridMultilevel"/>
    <w:tmpl w:val="EAE0197E"/>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4DAF074E"/>
    <w:multiLevelType w:val="hybridMultilevel"/>
    <w:tmpl w:val="EFCCF5F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8" w15:restartNumberingAfterBreak="0">
    <w:nsid w:val="4E2E72D3"/>
    <w:multiLevelType w:val="hybridMultilevel"/>
    <w:tmpl w:val="CA02463C"/>
    <w:lvl w:ilvl="0" w:tplc="8666593A">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9" w15:restartNumberingAfterBreak="0">
    <w:nsid w:val="4F2F7C09"/>
    <w:multiLevelType w:val="hybridMultilevel"/>
    <w:tmpl w:val="7EC26926"/>
    <w:lvl w:ilvl="0" w:tplc="8666593A">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0" w15:restartNumberingAfterBreak="0">
    <w:nsid w:val="5469081F"/>
    <w:multiLevelType w:val="hybridMultilevel"/>
    <w:tmpl w:val="96BAFC4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57551AFB"/>
    <w:multiLevelType w:val="hybridMultilevel"/>
    <w:tmpl w:val="AD6C76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58307AFF"/>
    <w:multiLevelType w:val="hybridMultilevel"/>
    <w:tmpl w:val="B2E0DD54"/>
    <w:lvl w:ilvl="0" w:tplc="8666593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3" w15:restartNumberingAfterBreak="0">
    <w:nsid w:val="58421E1D"/>
    <w:multiLevelType w:val="hybridMultilevel"/>
    <w:tmpl w:val="FC12D782"/>
    <w:lvl w:ilvl="0" w:tplc="0409000B">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4" w15:restartNumberingAfterBreak="0">
    <w:nsid w:val="5C2B3115"/>
    <w:multiLevelType w:val="hybridMultilevel"/>
    <w:tmpl w:val="7D22EC62"/>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5" w15:restartNumberingAfterBreak="0">
    <w:nsid w:val="5CAF7B1D"/>
    <w:multiLevelType w:val="hybridMultilevel"/>
    <w:tmpl w:val="94C4AF2E"/>
    <w:lvl w:ilvl="0" w:tplc="8666593A">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6" w15:restartNumberingAfterBreak="0">
    <w:nsid w:val="640B4A09"/>
    <w:multiLevelType w:val="hybridMultilevel"/>
    <w:tmpl w:val="E37235D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7" w15:restartNumberingAfterBreak="0">
    <w:nsid w:val="693E3C22"/>
    <w:multiLevelType w:val="hybridMultilevel"/>
    <w:tmpl w:val="3856A09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6DFD4AEA"/>
    <w:multiLevelType w:val="hybridMultilevel"/>
    <w:tmpl w:val="5F36FEB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9" w15:restartNumberingAfterBreak="0">
    <w:nsid w:val="6FCF25B4"/>
    <w:multiLevelType w:val="hybridMultilevel"/>
    <w:tmpl w:val="6A78DA9C"/>
    <w:lvl w:ilvl="0" w:tplc="8666593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0" w15:restartNumberingAfterBreak="0">
    <w:nsid w:val="705E1700"/>
    <w:multiLevelType w:val="hybridMultilevel"/>
    <w:tmpl w:val="0E1A420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1" w15:restartNumberingAfterBreak="0">
    <w:nsid w:val="71B9237E"/>
    <w:multiLevelType w:val="hybridMultilevel"/>
    <w:tmpl w:val="C69251F2"/>
    <w:lvl w:ilvl="0" w:tplc="0409000B">
      <w:start w:val="1"/>
      <w:numFmt w:val="bullet"/>
      <w:lvlText w:val=""/>
      <w:lvlJc w:val="left"/>
      <w:pPr>
        <w:ind w:left="660" w:hanging="440"/>
      </w:pPr>
      <w:rPr>
        <w:rFonts w:ascii="Wingdings" w:hAnsi="Wingdings" w:hint="default"/>
      </w:rPr>
    </w:lvl>
    <w:lvl w:ilvl="1" w:tplc="0409000B" w:tentative="1">
      <w:start w:val="1"/>
      <w:numFmt w:val="bullet"/>
      <w:lvlText w:val=""/>
      <w:lvlJc w:val="left"/>
      <w:pPr>
        <w:ind w:left="1100" w:hanging="440"/>
      </w:pPr>
      <w:rPr>
        <w:rFonts w:ascii="Wingdings" w:hAnsi="Wingdings" w:hint="default"/>
      </w:rPr>
    </w:lvl>
    <w:lvl w:ilvl="2" w:tplc="0409000D" w:tentative="1">
      <w:start w:val="1"/>
      <w:numFmt w:val="bullet"/>
      <w:lvlText w:val=""/>
      <w:lvlJc w:val="left"/>
      <w:pPr>
        <w:ind w:left="1540" w:hanging="440"/>
      </w:pPr>
      <w:rPr>
        <w:rFonts w:ascii="Wingdings" w:hAnsi="Wingdings" w:hint="default"/>
      </w:rPr>
    </w:lvl>
    <w:lvl w:ilvl="3" w:tplc="04090001" w:tentative="1">
      <w:start w:val="1"/>
      <w:numFmt w:val="bullet"/>
      <w:lvlText w:val=""/>
      <w:lvlJc w:val="left"/>
      <w:pPr>
        <w:ind w:left="1980" w:hanging="440"/>
      </w:pPr>
      <w:rPr>
        <w:rFonts w:ascii="Wingdings" w:hAnsi="Wingdings" w:hint="default"/>
      </w:rPr>
    </w:lvl>
    <w:lvl w:ilvl="4" w:tplc="0409000B" w:tentative="1">
      <w:start w:val="1"/>
      <w:numFmt w:val="bullet"/>
      <w:lvlText w:val=""/>
      <w:lvlJc w:val="left"/>
      <w:pPr>
        <w:ind w:left="2420" w:hanging="440"/>
      </w:pPr>
      <w:rPr>
        <w:rFonts w:ascii="Wingdings" w:hAnsi="Wingdings" w:hint="default"/>
      </w:rPr>
    </w:lvl>
    <w:lvl w:ilvl="5" w:tplc="0409000D" w:tentative="1">
      <w:start w:val="1"/>
      <w:numFmt w:val="bullet"/>
      <w:lvlText w:val=""/>
      <w:lvlJc w:val="left"/>
      <w:pPr>
        <w:ind w:left="2860" w:hanging="440"/>
      </w:pPr>
      <w:rPr>
        <w:rFonts w:ascii="Wingdings" w:hAnsi="Wingdings" w:hint="default"/>
      </w:rPr>
    </w:lvl>
    <w:lvl w:ilvl="6" w:tplc="04090001" w:tentative="1">
      <w:start w:val="1"/>
      <w:numFmt w:val="bullet"/>
      <w:lvlText w:val=""/>
      <w:lvlJc w:val="left"/>
      <w:pPr>
        <w:ind w:left="3300" w:hanging="440"/>
      </w:pPr>
      <w:rPr>
        <w:rFonts w:ascii="Wingdings" w:hAnsi="Wingdings" w:hint="default"/>
      </w:rPr>
    </w:lvl>
    <w:lvl w:ilvl="7" w:tplc="0409000B" w:tentative="1">
      <w:start w:val="1"/>
      <w:numFmt w:val="bullet"/>
      <w:lvlText w:val=""/>
      <w:lvlJc w:val="left"/>
      <w:pPr>
        <w:ind w:left="3740" w:hanging="440"/>
      </w:pPr>
      <w:rPr>
        <w:rFonts w:ascii="Wingdings" w:hAnsi="Wingdings" w:hint="default"/>
      </w:rPr>
    </w:lvl>
    <w:lvl w:ilvl="8" w:tplc="0409000D" w:tentative="1">
      <w:start w:val="1"/>
      <w:numFmt w:val="bullet"/>
      <w:lvlText w:val=""/>
      <w:lvlJc w:val="left"/>
      <w:pPr>
        <w:ind w:left="4180" w:hanging="440"/>
      </w:pPr>
      <w:rPr>
        <w:rFonts w:ascii="Wingdings" w:hAnsi="Wingdings" w:hint="default"/>
      </w:rPr>
    </w:lvl>
  </w:abstractNum>
  <w:abstractNum w:abstractNumId="32" w15:restartNumberingAfterBreak="0">
    <w:nsid w:val="75F7529C"/>
    <w:multiLevelType w:val="hybridMultilevel"/>
    <w:tmpl w:val="AEE4E70A"/>
    <w:lvl w:ilvl="0" w:tplc="02A6D4D2">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8524450"/>
    <w:multiLevelType w:val="hybridMultilevel"/>
    <w:tmpl w:val="955C975A"/>
    <w:lvl w:ilvl="0" w:tplc="0409000B">
      <w:start w:val="1"/>
      <w:numFmt w:val="bullet"/>
      <w:lvlText w:val=""/>
      <w:lvlJc w:val="left"/>
      <w:pPr>
        <w:ind w:left="440" w:hanging="440"/>
      </w:pPr>
      <w:rPr>
        <w:rFonts w:ascii="Wingdings" w:hAnsi="Wingdings" w:hint="default"/>
      </w:rPr>
    </w:lvl>
    <w:lvl w:ilvl="1" w:tplc="DF1CE974">
      <w:numFmt w:val="bullet"/>
      <w:lvlText w:val="•"/>
      <w:lvlJc w:val="left"/>
      <w:pPr>
        <w:ind w:left="800" w:hanging="360"/>
      </w:pPr>
      <w:rPr>
        <w:rFonts w:ascii="ＭＳ 明朝" w:eastAsia="ＭＳ 明朝" w:hAnsi="ＭＳ 明朝" w:cs="PMingLiU" w:hint="eastAsia"/>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4" w15:restartNumberingAfterBreak="0">
    <w:nsid w:val="79E16CD4"/>
    <w:multiLevelType w:val="hybridMultilevel"/>
    <w:tmpl w:val="C764E7A4"/>
    <w:lvl w:ilvl="0" w:tplc="02A6D4D2">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7A0E2C11"/>
    <w:multiLevelType w:val="hybridMultilevel"/>
    <w:tmpl w:val="A5449FF2"/>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6" w15:restartNumberingAfterBreak="0">
    <w:nsid w:val="7A9F7013"/>
    <w:multiLevelType w:val="hybridMultilevel"/>
    <w:tmpl w:val="2B16635E"/>
    <w:lvl w:ilvl="0" w:tplc="02A6D4D2">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7" w15:restartNumberingAfterBreak="0">
    <w:nsid w:val="7EE026C9"/>
    <w:multiLevelType w:val="hybridMultilevel"/>
    <w:tmpl w:val="857EBD4E"/>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32561562">
    <w:abstractNumId w:val="4"/>
  </w:num>
  <w:num w:numId="2" w16cid:durableId="1888027609">
    <w:abstractNumId w:val="23"/>
  </w:num>
  <w:num w:numId="3" w16cid:durableId="426660439">
    <w:abstractNumId w:val="7"/>
  </w:num>
  <w:num w:numId="4" w16cid:durableId="1690914481">
    <w:abstractNumId w:val="36"/>
  </w:num>
  <w:num w:numId="5" w16cid:durableId="869146094">
    <w:abstractNumId w:val="34"/>
  </w:num>
  <w:num w:numId="6" w16cid:durableId="1457289409">
    <w:abstractNumId w:val="32"/>
  </w:num>
  <w:num w:numId="7" w16cid:durableId="21826530">
    <w:abstractNumId w:val="3"/>
  </w:num>
  <w:num w:numId="8" w16cid:durableId="848375585">
    <w:abstractNumId w:val="16"/>
  </w:num>
  <w:num w:numId="9" w16cid:durableId="1675717815">
    <w:abstractNumId w:val="27"/>
  </w:num>
  <w:num w:numId="10" w16cid:durableId="141966279">
    <w:abstractNumId w:val="35"/>
  </w:num>
  <w:num w:numId="11" w16cid:durableId="924535698">
    <w:abstractNumId w:val="31"/>
  </w:num>
  <w:num w:numId="12" w16cid:durableId="1134326670">
    <w:abstractNumId w:val="28"/>
  </w:num>
  <w:num w:numId="13" w16cid:durableId="5863982">
    <w:abstractNumId w:val="5"/>
  </w:num>
  <w:num w:numId="14" w16cid:durableId="1497113823">
    <w:abstractNumId w:val="14"/>
  </w:num>
  <w:num w:numId="15" w16cid:durableId="165830669">
    <w:abstractNumId w:val="9"/>
  </w:num>
  <w:num w:numId="16" w16cid:durableId="2115664805">
    <w:abstractNumId w:val="18"/>
  </w:num>
  <w:num w:numId="17" w16cid:durableId="1568757695">
    <w:abstractNumId w:val="0"/>
  </w:num>
  <w:num w:numId="18" w16cid:durableId="1640719511">
    <w:abstractNumId w:val="19"/>
  </w:num>
  <w:num w:numId="19" w16cid:durableId="1853296378">
    <w:abstractNumId w:val="15"/>
  </w:num>
  <w:num w:numId="20" w16cid:durableId="1782917858">
    <w:abstractNumId w:val="25"/>
  </w:num>
  <w:num w:numId="21" w16cid:durableId="645863048">
    <w:abstractNumId w:val="8"/>
  </w:num>
  <w:num w:numId="22" w16cid:durableId="1730109735">
    <w:abstractNumId w:val="22"/>
  </w:num>
  <w:num w:numId="23" w16cid:durableId="1877499872">
    <w:abstractNumId w:val="24"/>
  </w:num>
  <w:num w:numId="24" w16cid:durableId="1289508188">
    <w:abstractNumId w:val="26"/>
  </w:num>
  <w:num w:numId="25" w16cid:durableId="1096294219">
    <w:abstractNumId w:val="11"/>
  </w:num>
  <w:num w:numId="26" w16cid:durableId="1284724301">
    <w:abstractNumId w:val="2"/>
  </w:num>
  <w:num w:numId="27" w16cid:durableId="807093377">
    <w:abstractNumId w:val="21"/>
  </w:num>
  <w:num w:numId="28" w16cid:durableId="275404301">
    <w:abstractNumId w:val="30"/>
  </w:num>
  <w:num w:numId="29" w16cid:durableId="2021468293">
    <w:abstractNumId w:val="10"/>
  </w:num>
  <w:num w:numId="30" w16cid:durableId="170875572">
    <w:abstractNumId w:val="37"/>
  </w:num>
  <w:num w:numId="31" w16cid:durableId="898904934">
    <w:abstractNumId w:val="6"/>
  </w:num>
  <w:num w:numId="32" w16cid:durableId="334110679">
    <w:abstractNumId w:val="12"/>
  </w:num>
  <w:num w:numId="33" w16cid:durableId="2133285842">
    <w:abstractNumId w:val="17"/>
  </w:num>
  <w:num w:numId="34" w16cid:durableId="616836561">
    <w:abstractNumId w:val="20"/>
  </w:num>
  <w:num w:numId="35" w16cid:durableId="1644386749">
    <w:abstractNumId w:val="33"/>
  </w:num>
  <w:num w:numId="36" w16cid:durableId="1475179043">
    <w:abstractNumId w:val="29"/>
  </w:num>
  <w:num w:numId="37" w16cid:durableId="877084487">
    <w:abstractNumId w:val="13"/>
  </w:num>
  <w:num w:numId="38" w16cid:durableId="20935847">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757"/>
    <w:rsid w:val="00020164"/>
    <w:rsid w:val="00032A38"/>
    <w:rsid w:val="00033E2A"/>
    <w:rsid w:val="00041929"/>
    <w:rsid w:val="00051E35"/>
    <w:rsid w:val="00052094"/>
    <w:rsid w:val="00057276"/>
    <w:rsid w:val="000572BA"/>
    <w:rsid w:val="00064367"/>
    <w:rsid w:val="00066607"/>
    <w:rsid w:val="000720B5"/>
    <w:rsid w:val="00076C56"/>
    <w:rsid w:val="00081A6F"/>
    <w:rsid w:val="00092548"/>
    <w:rsid w:val="000942EF"/>
    <w:rsid w:val="000962C4"/>
    <w:rsid w:val="000B3046"/>
    <w:rsid w:val="000B3FC1"/>
    <w:rsid w:val="000B6BB1"/>
    <w:rsid w:val="000B6D0B"/>
    <w:rsid w:val="000C509E"/>
    <w:rsid w:val="000C615C"/>
    <w:rsid w:val="000C7534"/>
    <w:rsid w:val="000D19EE"/>
    <w:rsid w:val="001101C1"/>
    <w:rsid w:val="0011245C"/>
    <w:rsid w:val="00114005"/>
    <w:rsid w:val="00121AA0"/>
    <w:rsid w:val="001227C9"/>
    <w:rsid w:val="00130867"/>
    <w:rsid w:val="00131A09"/>
    <w:rsid w:val="00136F97"/>
    <w:rsid w:val="00144123"/>
    <w:rsid w:val="00146730"/>
    <w:rsid w:val="001726A0"/>
    <w:rsid w:val="0017573C"/>
    <w:rsid w:val="00181F94"/>
    <w:rsid w:val="00192325"/>
    <w:rsid w:val="001A5AAD"/>
    <w:rsid w:val="001A66FD"/>
    <w:rsid w:val="001A6B23"/>
    <w:rsid w:val="001B0506"/>
    <w:rsid w:val="001B08C6"/>
    <w:rsid w:val="001B13E0"/>
    <w:rsid w:val="001B5037"/>
    <w:rsid w:val="001B59B4"/>
    <w:rsid w:val="001B6690"/>
    <w:rsid w:val="001C15C3"/>
    <w:rsid w:val="001C594F"/>
    <w:rsid w:val="001F154A"/>
    <w:rsid w:val="001F1D44"/>
    <w:rsid w:val="001F2656"/>
    <w:rsid w:val="001F3200"/>
    <w:rsid w:val="001F567C"/>
    <w:rsid w:val="0020332A"/>
    <w:rsid w:val="00206DEA"/>
    <w:rsid w:val="00213A8F"/>
    <w:rsid w:val="00215E44"/>
    <w:rsid w:val="00216CE9"/>
    <w:rsid w:val="002172E1"/>
    <w:rsid w:val="00230432"/>
    <w:rsid w:val="002326B2"/>
    <w:rsid w:val="00240EBF"/>
    <w:rsid w:val="00246611"/>
    <w:rsid w:val="002536F3"/>
    <w:rsid w:val="002565D1"/>
    <w:rsid w:val="00256B7B"/>
    <w:rsid w:val="0025770F"/>
    <w:rsid w:val="00261434"/>
    <w:rsid w:val="00262A5B"/>
    <w:rsid w:val="0026346E"/>
    <w:rsid w:val="00265F9E"/>
    <w:rsid w:val="00270DB8"/>
    <w:rsid w:val="00281E80"/>
    <w:rsid w:val="00283CF8"/>
    <w:rsid w:val="0028559E"/>
    <w:rsid w:val="00295E5E"/>
    <w:rsid w:val="00297407"/>
    <w:rsid w:val="002A3865"/>
    <w:rsid w:val="002B0FA4"/>
    <w:rsid w:val="002B705D"/>
    <w:rsid w:val="002C62B4"/>
    <w:rsid w:val="002D5447"/>
    <w:rsid w:val="002E254E"/>
    <w:rsid w:val="002E4503"/>
    <w:rsid w:val="002E6B3D"/>
    <w:rsid w:val="00306B0C"/>
    <w:rsid w:val="00312050"/>
    <w:rsid w:val="00325BF3"/>
    <w:rsid w:val="00343F26"/>
    <w:rsid w:val="003454E2"/>
    <w:rsid w:val="00361EDC"/>
    <w:rsid w:val="003841C4"/>
    <w:rsid w:val="0038588D"/>
    <w:rsid w:val="003A6A4D"/>
    <w:rsid w:val="003B5121"/>
    <w:rsid w:val="003C1F59"/>
    <w:rsid w:val="003C4E30"/>
    <w:rsid w:val="003C5502"/>
    <w:rsid w:val="003D4FA7"/>
    <w:rsid w:val="003E24D6"/>
    <w:rsid w:val="003E346C"/>
    <w:rsid w:val="00410577"/>
    <w:rsid w:val="00413A58"/>
    <w:rsid w:val="00426F68"/>
    <w:rsid w:val="0043033A"/>
    <w:rsid w:val="0044139F"/>
    <w:rsid w:val="004440ED"/>
    <w:rsid w:val="0044562F"/>
    <w:rsid w:val="00456B17"/>
    <w:rsid w:val="00461DE6"/>
    <w:rsid w:val="004905CF"/>
    <w:rsid w:val="004B58F3"/>
    <w:rsid w:val="004C4757"/>
    <w:rsid w:val="004C6E60"/>
    <w:rsid w:val="004C72EE"/>
    <w:rsid w:val="004D1171"/>
    <w:rsid w:val="004D2AEC"/>
    <w:rsid w:val="004D2F93"/>
    <w:rsid w:val="004E1D8B"/>
    <w:rsid w:val="004E56F4"/>
    <w:rsid w:val="005049E4"/>
    <w:rsid w:val="00507AAD"/>
    <w:rsid w:val="00510E7E"/>
    <w:rsid w:val="00521772"/>
    <w:rsid w:val="00521A8D"/>
    <w:rsid w:val="0052426F"/>
    <w:rsid w:val="00534C76"/>
    <w:rsid w:val="00534D37"/>
    <w:rsid w:val="00536DBE"/>
    <w:rsid w:val="0054445C"/>
    <w:rsid w:val="0054548E"/>
    <w:rsid w:val="005516D6"/>
    <w:rsid w:val="00554C22"/>
    <w:rsid w:val="005555C6"/>
    <w:rsid w:val="00563AA0"/>
    <w:rsid w:val="00574679"/>
    <w:rsid w:val="0057559C"/>
    <w:rsid w:val="00576371"/>
    <w:rsid w:val="00580BA9"/>
    <w:rsid w:val="00585F47"/>
    <w:rsid w:val="00587200"/>
    <w:rsid w:val="005964EF"/>
    <w:rsid w:val="005B462F"/>
    <w:rsid w:val="005C464A"/>
    <w:rsid w:val="005C46AA"/>
    <w:rsid w:val="005D11F1"/>
    <w:rsid w:val="005E550B"/>
    <w:rsid w:val="005F20B4"/>
    <w:rsid w:val="00607BD4"/>
    <w:rsid w:val="006221F5"/>
    <w:rsid w:val="0063031E"/>
    <w:rsid w:val="00636010"/>
    <w:rsid w:val="00643DDA"/>
    <w:rsid w:val="00645B30"/>
    <w:rsid w:val="006505F0"/>
    <w:rsid w:val="00652652"/>
    <w:rsid w:val="00656E0E"/>
    <w:rsid w:val="006605CB"/>
    <w:rsid w:val="0066602D"/>
    <w:rsid w:val="006706F7"/>
    <w:rsid w:val="00683725"/>
    <w:rsid w:val="006867B1"/>
    <w:rsid w:val="00687B29"/>
    <w:rsid w:val="006903F4"/>
    <w:rsid w:val="006923D4"/>
    <w:rsid w:val="006A54EE"/>
    <w:rsid w:val="006A7459"/>
    <w:rsid w:val="006B5727"/>
    <w:rsid w:val="006B58A7"/>
    <w:rsid w:val="006B5AF0"/>
    <w:rsid w:val="006C1334"/>
    <w:rsid w:val="006F2747"/>
    <w:rsid w:val="006F40A8"/>
    <w:rsid w:val="00700954"/>
    <w:rsid w:val="00705149"/>
    <w:rsid w:val="00720DD4"/>
    <w:rsid w:val="0072181A"/>
    <w:rsid w:val="00735C68"/>
    <w:rsid w:val="00736926"/>
    <w:rsid w:val="007466B3"/>
    <w:rsid w:val="00753735"/>
    <w:rsid w:val="00756D58"/>
    <w:rsid w:val="00760877"/>
    <w:rsid w:val="007614D5"/>
    <w:rsid w:val="007619CF"/>
    <w:rsid w:val="00762625"/>
    <w:rsid w:val="0076394A"/>
    <w:rsid w:val="007670FE"/>
    <w:rsid w:val="007703AF"/>
    <w:rsid w:val="00783418"/>
    <w:rsid w:val="00791907"/>
    <w:rsid w:val="007A16EA"/>
    <w:rsid w:val="007A7D5F"/>
    <w:rsid w:val="007B59E2"/>
    <w:rsid w:val="007C0B79"/>
    <w:rsid w:val="007C44AF"/>
    <w:rsid w:val="007D25A3"/>
    <w:rsid w:val="007D7D4B"/>
    <w:rsid w:val="007E1A26"/>
    <w:rsid w:val="007E6509"/>
    <w:rsid w:val="00800605"/>
    <w:rsid w:val="00813604"/>
    <w:rsid w:val="00823897"/>
    <w:rsid w:val="008304DA"/>
    <w:rsid w:val="0083295C"/>
    <w:rsid w:val="008528D8"/>
    <w:rsid w:val="00854327"/>
    <w:rsid w:val="008663E3"/>
    <w:rsid w:val="008673B0"/>
    <w:rsid w:val="00870C36"/>
    <w:rsid w:val="0087316D"/>
    <w:rsid w:val="008737BA"/>
    <w:rsid w:val="008845F1"/>
    <w:rsid w:val="00891184"/>
    <w:rsid w:val="00894218"/>
    <w:rsid w:val="00896640"/>
    <w:rsid w:val="00897D5E"/>
    <w:rsid w:val="008A10B7"/>
    <w:rsid w:val="008B116A"/>
    <w:rsid w:val="008B1E28"/>
    <w:rsid w:val="008C6199"/>
    <w:rsid w:val="008C742F"/>
    <w:rsid w:val="008D705B"/>
    <w:rsid w:val="008E1483"/>
    <w:rsid w:val="008F7E53"/>
    <w:rsid w:val="00912CFF"/>
    <w:rsid w:val="00934D2C"/>
    <w:rsid w:val="00937326"/>
    <w:rsid w:val="00943A98"/>
    <w:rsid w:val="0094521A"/>
    <w:rsid w:val="00946DB5"/>
    <w:rsid w:val="00953583"/>
    <w:rsid w:val="009540F4"/>
    <w:rsid w:val="009545B2"/>
    <w:rsid w:val="00960F3F"/>
    <w:rsid w:val="009661FA"/>
    <w:rsid w:val="0097489E"/>
    <w:rsid w:val="009A0C8E"/>
    <w:rsid w:val="009C0362"/>
    <w:rsid w:val="009C2550"/>
    <w:rsid w:val="009C58A9"/>
    <w:rsid w:val="009E0FAA"/>
    <w:rsid w:val="009E20BB"/>
    <w:rsid w:val="009E2F46"/>
    <w:rsid w:val="009E60F8"/>
    <w:rsid w:val="009F3EE8"/>
    <w:rsid w:val="00A121E4"/>
    <w:rsid w:val="00A25829"/>
    <w:rsid w:val="00A35F54"/>
    <w:rsid w:val="00A41B16"/>
    <w:rsid w:val="00A478DC"/>
    <w:rsid w:val="00A72E1C"/>
    <w:rsid w:val="00A77C0E"/>
    <w:rsid w:val="00A82EFD"/>
    <w:rsid w:val="00A850A3"/>
    <w:rsid w:val="00A874EB"/>
    <w:rsid w:val="00A97826"/>
    <w:rsid w:val="00AA4203"/>
    <w:rsid w:val="00AA6388"/>
    <w:rsid w:val="00AB1B7C"/>
    <w:rsid w:val="00AC63DD"/>
    <w:rsid w:val="00AD7D69"/>
    <w:rsid w:val="00AE1223"/>
    <w:rsid w:val="00AE2E36"/>
    <w:rsid w:val="00AE6A50"/>
    <w:rsid w:val="00AE6AB8"/>
    <w:rsid w:val="00AF1884"/>
    <w:rsid w:val="00AF279D"/>
    <w:rsid w:val="00AF49BC"/>
    <w:rsid w:val="00B159E5"/>
    <w:rsid w:val="00B2098E"/>
    <w:rsid w:val="00B26219"/>
    <w:rsid w:val="00B31375"/>
    <w:rsid w:val="00B456C3"/>
    <w:rsid w:val="00B478FD"/>
    <w:rsid w:val="00B56A34"/>
    <w:rsid w:val="00B73CE5"/>
    <w:rsid w:val="00B76B5D"/>
    <w:rsid w:val="00B82211"/>
    <w:rsid w:val="00B843F5"/>
    <w:rsid w:val="00B8652B"/>
    <w:rsid w:val="00B87F57"/>
    <w:rsid w:val="00BA3864"/>
    <w:rsid w:val="00BB206A"/>
    <w:rsid w:val="00BB2940"/>
    <w:rsid w:val="00BB3F89"/>
    <w:rsid w:val="00BD3DC7"/>
    <w:rsid w:val="00BD537B"/>
    <w:rsid w:val="00BD5C49"/>
    <w:rsid w:val="00C10F82"/>
    <w:rsid w:val="00C34D05"/>
    <w:rsid w:val="00C36D10"/>
    <w:rsid w:val="00C557E4"/>
    <w:rsid w:val="00C558D3"/>
    <w:rsid w:val="00C74C79"/>
    <w:rsid w:val="00C7673A"/>
    <w:rsid w:val="00C81460"/>
    <w:rsid w:val="00C85C52"/>
    <w:rsid w:val="00C971E4"/>
    <w:rsid w:val="00CA105C"/>
    <w:rsid w:val="00CA1D5B"/>
    <w:rsid w:val="00CA3A09"/>
    <w:rsid w:val="00CB4296"/>
    <w:rsid w:val="00CB6EA3"/>
    <w:rsid w:val="00CB7ABF"/>
    <w:rsid w:val="00CC43F1"/>
    <w:rsid w:val="00CD753D"/>
    <w:rsid w:val="00CD78BD"/>
    <w:rsid w:val="00CF0C87"/>
    <w:rsid w:val="00CF26B2"/>
    <w:rsid w:val="00D06776"/>
    <w:rsid w:val="00D176D0"/>
    <w:rsid w:val="00D2203E"/>
    <w:rsid w:val="00D56FA1"/>
    <w:rsid w:val="00D70DE8"/>
    <w:rsid w:val="00D745B1"/>
    <w:rsid w:val="00D8071E"/>
    <w:rsid w:val="00D86AE2"/>
    <w:rsid w:val="00D86D60"/>
    <w:rsid w:val="00D92B8B"/>
    <w:rsid w:val="00D97336"/>
    <w:rsid w:val="00DA2133"/>
    <w:rsid w:val="00DA4AAD"/>
    <w:rsid w:val="00DC4829"/>
    <w:rsid w:val="00DD084E"/>
    <w:rsid w:val="00DD0BA1"/>
    <w:rsid w:val="00DD106B"/>
    <w:rsid w:val="00DD3F7D"/>
    <w:rsid w:val="00DD58AF"/>
    <w:rsid w:val="00E11414"/>
    <w:rsid w:val="00E116C2"/>
    <w:rsid w:val="00E126D7"/>
    <w:rsid w:val="00E13348"/>
    <w:rsid w:val="00E14179"/>
    <w:rsid w:val="00E319FC"/>
    <w:rsid w:val="00E43BF7"/>
    <w:rsid w:val="00E45A73"/>
    <w:rsid w:val="00E50AD1"/>
    <w:rsid w:val="00E54EF7"/>
    <w:rsid w:val="00E61285"/>
    <w:rsid w:val="00E6743A"/>
    <w:rsid w:val="00E711E5"/>
    <w:rsid w:val="00E800A3"/>
    <w:rsid w:val="00E8183B"/>
    <w:rsid w:val="00EB18B3"/>
    <w:rsid w:val="00ED155B"/>
    <w:rsid w:val="00ED2CCC"/>
    <w:rsid w:val="00EE1CBF"/>
    <w:rsid w:val="00EF648D"/>
    <w:rsid w:val="00F01408"/>
    <w:rsid w:val="00F01DCE"/>
    <w:rsid w:val="00F11469"/>
    <w:rsid w:val="00F11520"/>
    <w:rsid w:val="00F17DB3"/>
    <w:rsid w:val="00F20600"/>
    <w:rsid w:val="00F20EA1"/>
    <w:rsid w:val="00F27743"/>
    <w:rsid w:val="00F309D7"/>
    <w:rsid w:val="00F31C70"/>
    <w:rsid w:val="00F41B0B"/>
    <w:rsid w:val="00F52D46"/>
    <w:rsid w:val="00F5700C"/>
    <w:rsid w:val="00F60646"/>
    <w:rsid w:val="00F60FBF"/>
    <w:rsid w:val="00F618F2"/>
    <w:rsid w:val="00F8173F"/>
    <w:rsid w:val="00F977A5"/>
    <w:rsid w:val="00FA0BC5"/>
    <w:rsid w:val="00FA3139"/>
    <w:rsid w:val="00FB38D5"/>
    <w:rsid w:val="00FB4F73"/>
    <w:rsid w:val="00FC2EE0"/>
    <w:rsid w:val="00FC45FA"/>
    <w:rsid w:val="00FC5EA0"/>
    <w:rsid w:val="00FD5037"/>
    <w:rsid w:val="00FD72E2"/>
    <w:rsid w:val="00FE0514"/>
    <w:rsid w:val="00FE24AF"/>
    <w:rsid w:val="00FE2B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E889B7"/>
  <w15:docId w15:val="{761040FF-B9C9-41BF-A4E2-193785F48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ind w:left="528" w:hanging="427"/>
      <w:outlineLvl w:val="0"/>
    </w:pPr>
    <w:rPr>
      <w:rFonts w:ascii="Microsoft JhengHei" w:eastAsia="Microsoft JhengHei" w:hAnsi="Microsoft JhengHei" w:cs="Microsoft JhengHei"/>
      <w:b/>
      <w:bCs/>
      <w:sz w:val="25"/>
      <w:szCs w:val="25"/>
    </w:rPr>
  </w:style>
  <w:style w:type="paragraph" w:styleId="2">
    <w:name w:val="heading 2"/>
    <w:basedOn w:val="a"/>
    <w:link w:val="20"/>
    <w:uiPriority w:val="9"/>
    <w:unhideWhenUsed/>
    <w:qFormat/>
    <w:pPr>
      <w:ind w:left="821" w:hanging="360"/>
      <w:outlineLvl w:val="1"/>
    </w:pPr>
    <w:rPr>
      <w:sz w:val="24"/>
      <w:szCs w:val="24"/>
    </w:rPr>
  </w:style>
  <w:style w:type="paragraph" w:styleId="3">
    <w:name w:val="heading 3"/>
    <w:basedOn w:val="a"/>
    <w:uiPriority w:val="9"/>
    <w:unhideWhenUsed/>
    <w:qFormat/>
    <w:pPr>
      <w:spacing w:before="107"/>
      <w:ind w:left="941" w:hanging="420"/>
      <w:outlineLvl w:val="2"/>
    </w:pPr>
  </w:style>
  <w:style w:type="paragraph" w:styleId="4">
    <w:name w:val="heading 4"/>
    <w:basedOn w:val="a"/>
    <w:uiPriority w:val="9"/>
    <w:unhideWhenUsed/>
    <w:qFormat/>
    <w:pPr>
      <w:spacing w:before="82"/>
      <w:ind w:left="821"/>
      <w:outlineLvl w:val="3"/>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rFonts w:ascii="PMingLiU" w:eastAsia="PMingLiU" w:hAnsi="PMingLiU" w:cs="PMingLiU"/>
      <w:sz w:val="21"/>
      <w:szCs w:val="21"/>
    </w:rPr>
  </w:style>
  <w:style w:type="paragraph" w:styleId="a4">
    <w:name w:val="List Paragraph"/>
    <w:basedOn w:val="a"/>
    <w:uiPriority w:val="34"/>
    <w:qFormat/>
    <w:pPr>
      <w:ind w:left="821" w:hanging="420"/>
    </w:pPr>
  </w:style>
  <w:style w:type="paragraph" w:customStyle="1" w:styleId="TableParagraph">
    <w:name w:val="Table Paragraph"/>
    <w:basedOn w:val="a"/>
    <w:uiPriority w:val="1"/>
    <w:qFormat/>
  </w:style>
  <w:style w:type="paragraph" w:styleId="a5">
    <w:name w:val="Date"/>
    <w:basedOn w:val="a"/>
    <w:next w:val="a"/>
    <w:link w:val="a6"/>
    <w:uiPriority w:val="99"/>
    <w:semiHidden/>
    <w:unhideWhenUsed/>
    <w:rsid w:val="00B478FD"/>
  </w:style>
  <w:style w:type="character" w:customStyle="1" w:styleId="a6">
    <w:name w:val="日付 (文字)"/>
    <w:basedOn w:val="a0"/>
    <w:link w:val="a5"/>
    <w:uiPriority w:val="99"/>
    <w:semiHidden/>
    <w:rsid w:val="00B478FD"/>
    <w:rPr>
      <w:rFonts w:ascii="Times New Roman" w:eastAsia="Times New Roman" w:hAnsi="Times New Roman" w:cs="Times New Roman"/>
    </w:rPr>
  </w:style>
  <w:style w:type="paragraph" w:styleId="a7">
    <w:name w:val="header"/>
    <w:basedOn w:val="a"/>
    <w:link w:val="a8"/>
    <w:uiPriority w:val="99"/>
    <w:unhideWhenUsed/>
    <w:rsid w:val="005E550B"/>
    <w:pPr>
      <w:tabs>
        <w:tab w:val="center" w:pos="4252"/>
        <w:tab w:val="right" w:pos="8504"/>
      </w:tabs>
      <w:snapToGrid w:val="0"/>
    </w:pPr>
  </w:style>
  <w:style w:type="character" w:customStyle="1" w:styleId="a8">
    <w:name w:val="ヘッダー (文字)"/>
    <w:basedOn w:val="a0"/>
    <w:link w:val="a7"/>
    <w:uiPriority w:val="99"/>
    <w:rsid w:val="005E550B"/>
    <w:rPr>
      <w:rFonts w:ascii="Times New Roman" w:eastAsia="Times New Roman" w:hAnsi="Times New Roman" w:cs="Times New Roman"/>
    </w:rPr>
  </w:style>
  <w:style w:type="paragraph" w:styleId="a9">
    <w:name w:val="footer"/>
    <w:basedOn w:val="a"/>
    <w:link w:val="aa"/>
    <w:uiPriority w:val="99"/>
    <w:unhideWhenUsed/>
    <w:rsid w:val="005E550B"/>
    <w:pPr>
      <w:tabs>
        <w:tab w:val="center" w:pos="4252"/>
        <w:tab w:val="right" w:pos="8504"/>
      </w:tabs>
      <w:snapToGrid w:val="0"/>
    </w:pPr>
  </w:style>
  <w:style w:type="character" w:customStyle="1" w:styleId="aa">
    <w:name w:val="フッター (文字)"/>
    <w:basedOn w:val="a0"/>
    <w:link w:val="a9"/>
    <w:uiPriority w:val="99"/>
    <w:rsid w:val="005E550B"/>
    <w:rPr>
      <w:rFonts w:ascii="Times New Roman" w:eastAsia="Times New Roman" w:hAnsi="Times New Roman" w:cs="Times New Roman"/>
    </w:rPr>
  </w:style>
  <w:style w:type="character" w:styleId="ab">
    <w:name w:val="Hyperlink"/>
    <w:basedOn w:val="a0"/>
    <w:uiPriority w:val="99"/>
    <w:unhideWhenUsed/>
    <w:rsid w:val="008D705B"/>
    <w:rPr>
      <w:color w:val="0000FF" w:themeColor="hyperlink"/>
      <w:u w:val="single"/>
    </w:rPr>
  </w:style>
  <w:style w:type="character" w:styleId="ac">
    <w:name w:val="Unresolved Mention"/>
    <w:basedOn w:val="a0"/>
    <w:uiPriority w:val="99"/>
    <w:semiHidden/>
    <w:unhideWhenUsed/>
    <w:rsid w:val="008D705B"/>
    <w:rPr>
      <w:color w:val="605E5C"/>
      <w:shd w:val="clear" w:color="auto" w:fill="E1DFDD"/>
    </w:rPr>
  </w:style>
  <w:style w:type="character" w:customStyle="1" w:styleId="20">
    <w:name w:val="見出し 2 (文字)"/>
    <w:basedOn w:val="a0"/>
    <w:link w:val="2"/>
    <w:uiPriority w:val="9"/>
    <w:rsid w:val="00CB6EA3"/>
    <w:rPr>
      <w:rFonts w:ascii="Times New Roman" w:eastAsia="Times New Roman" w:hAnsi="Times New Roman" w:cs="Times New Roman"/>
      <w:sz w:val="24"/>
      <w:szCs w:val="24"/>
    </w:rPr>
  </w:style>
  <w:style w:type="character" w:styleId="ad">
    <w:name w:val="FollowedHyperlink"/>
    <w:basedOn w:val="a0"/>
    <w:uiPriority w:val="99"/>
    <w:semiHidden/>
    <w:unhideWhenUsed/>
    <w:rsid w:val="000962C4"/>
    <w:rPr>
      <w:color w:val="800080" w:themeColor="followedHyperlink"/>
      <w:u w:val="single"/>
    </w:rPr>
  </w:style>
  <w:style w:type="paragraph" w:styleId="ae">
    <w:name w:val="No Spacing"/>
    <w:uiPriority w:val="1"/>
    <w:qFormat/>
    <w:rsid w:val="00E50AD1"/>
    <w:pPr>
      <w:autoSpaceDE/>
      <w:autoSpaceDN/>
      <w:jc w:val="both"/>
    </w:pPr>
    <w:rPr>
      <w:kern w:val="2"/>
      <w:sz w:val="21"/>
      <w:lang w:eastAsia="ja-JP"/>
      <w14:ligatures w14:val="standardContextual"/>
    </w:rPr>
  </w:style>
  <w:style w:type="paragraph" w:styleId="af">
    <w:name w:val="footnote text"/>
    <w:basedOn w:val="a"/>
    <w:link w:val="af0"/>
    <w:uiPriority w:val="99"/>
    <w:semiHidden/>
    <w:unhideWhenUsed/>
    <w:rsid w:val="00020164"/>
    <w:pPr>
      <w:snapToGrid w:val="0"/>
    </w:pPr>
  </w:style>
  <w:style w:type="character" w:customStyle="1" w:styleId="af0">
    <w:name w:val="脚注文字列 (文字)"/>
    <w:basedOn w:val="a0"/>
    <w:link w:val="af"/>
    <w:uiPriority w:val="99"/>
    <w:semiHidden/>
    <w:rsid w:val="00020164"/>
    <w:rPr>
      <w:rFonts w:ascii="Times New Roman" w:eastAsia="Times New Roman" w:hAnsi="Times New Roman" w:cs="Times New Roman"/>
    </w:rPr>
  </w:style>
  <w:style w:type="character" w:styleId="af1">
    <w:name w:val="footnote reference"/>
    <w:basedOn w:val="a0"/>
    <w:uiPriority w:val="99"/>
    <w:semiHidden/>
    <w:unhideWhenUsed/>
    <w:rsid w:val="000201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6979">
      <w:bodyDiv w:val="1"/>
      <w:marLeft w:val="0"/>
      <w:marRight w:val="0"/>
      <w:marTop w:val="0"/>
      <w:marBottom w:val="0"/>
      <w:divBdr>
        <w:top w:val="none" w:sz="0" w:space="0" w:color="auto"/>
        <w:left w:val="none" w:sz="0" w:space="0" w:color="auto"/>
        <w:bottom w:val="none" w:sz="0" w:space="0" w:color="auto"/>
        <w:right w:val="none" w:sz="0" w:space="0" w:color="auto"/>
      </w:divBdr>
    </w:div>
    <w:div w:id="263155638">
      <w:bodyDiv w:val="1"/>
      <w:marLeft w:val="0"/>
      <w:marRight w:val="0"/>
      <w:marTop w:val="0"/>
      <w:marBottom w:val="0"/>
      <w:divBdr>
        <w:top w:val="none" w:sz="0" w:space="0" w:color="auto"/>
        <w:left w:val="none" w:sz="0" w:space="0" w:color="auto"/>
        <w:bottom w:val="none" w:sz="0" w:space="0" w:color="auto"/>
        <w:right w:val="none" w:sz="0" w:space="0" w:color="auto"/>
      </w:divBdr>
    </w:div>
    <w:div w:id="698312157">
      <w:bodyDiv w:val="1"/>
      <w:marLeft w:val="0"/>
      <w:marRight w:val="0"/>
      <w:marTop w:val="0"/>
      <w:marBottom w:val="0"/>
      <w:divBdr>
        <w:top w:val="none" w:sz="0" w:space="0" w:color="auto"/>
        <w:left w:val="none" w:sz="0" w:space="0" w:color="auto"/>
        <w:bottom w:val="none" w:sz="0" w:space="0" w:color="auto"/>
        <w:right w:val="none" w:sz="0" w:space="0" w:color="auto"/>
      </w:divBdr>
    </w:div>
    <w:div w:id="13467824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1DE063CCD304A3295E3F3316E5FE9F5"/>
        <w:category>
          <w:name w:val="全般"/>
          <w:gallery w:val="placeholder"/>
        </w:category>
        <w:types>
          <w:type w:val="bbPlcHdr"/>
        </w:types>
        <w:behaviors>
          <w:behavior w:val="content"/>
        </w:behaviors>
        <w:guid w:val="{76322FF8-C38D-4FAD-ABB4-EECCD72F6FF1}"/>
      </w:docPartPr>
      <w:docPartBody>
        <w:p w:rsidR="008D32A0" w:rsidRDefault="006F7306" w:rsidP="006F7306">
          <w:pPr>
            <w:pStyle w:val="F1DE063CCD304A3295E3F3316E5FE9F5"/>
          </w:pPr>
          <w:r>
            <w:rPr>
              <w:lang w:val="ja-JP"/>
            </w:rPr>
            <w:t>[ここに入力]</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Microsoft JhengHei">
    <w:altName w:val="Microsoft Jheng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sDel="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306"/>
    <w:rsid w:val="001B59B4"/>
    <w:rsid w:val="005B462F"/>
    <w:rsid w:val="00632E63"/>
    <w:rsid w:val="006F7306"/>
    <w:rsid w:val="008D32A0"/>
    <w:rsid w:val="00AA6388"/>
    <w:rsid w:val="00D450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1DE063CCD304A3295E3F3316E5FE9F5">
    <w:name w:val="F1DE063CCD304A3295E3F3316E5FE9F5"/>
    <w:rsid w:val="006F7306"/>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BBC7B-E7B7-4381-B2AD-B2C1D8FEC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7</Pages>
  <Words>881</Words>
  <Characters>5025</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第19回 国連CEFACTフォーラム会議報告</vt:lpstr>
    </vt:vector>
  </TitlesOfParts>
  <Company/>
  <LinksUpToDate>false</LinksUpToDate>
  <CharactersWithSpaces>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第19回 国連CEFACTフォーラム会議報告</dc:title>
  <dc:creator>Sugamata</dc:creator>
  <cp:lastModifiedBy>HISANAO SUGAMATA</cp:lastModifiedBy>
  <cp:revision>23</cp:revision>
  <cp:lastPrinted>2024-12-18T04:32:00Z</cp:lastPrinted>
  <dcterms:created xsi:type="dcterms:W3CDTF">2025-11-29T15:27:00Z</dcterms:created>
  <dcterms:modified xsi:type="dcterms:W3CDTF">2025-12-11T07:36:00Z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2018-05-06T00:00:00Z</vt:filetime>
  </property>
  <property fmtid="{D5CDD505-2E9C-101B-9397-08002B2CF9AE}" pid="3" name="Creator">
    <vt:lpwstr>Acrobat PDFMaker 15 for Word</vt:lpwstr>
  </property>
  <property fmtid="{D5CDD505-2E9C-101B-9397-08002B2CF9AE}" pid="4" name="LastSaved">
    <vt:filetime>2018-06-01T00:00:00Z</vt:filetime>
  </property>
</Properties>
</file>